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D0" w:rsidRPr="001C2414" w:rsidRDefault="00DA1DD0" w:rsidP="00FC077F">
      <w:pPr>
        <w:rPr>
          <w:rFonts w:ascii="NewsGoth BT" w:hAnsi="NewsGoth BT"/>
          <w:iCs/>
          <w:sz w:val="20"/>
          <w:szCs w:val="20"/>
        </w:rPr>
      </w:pPr>
    </w:p>
    <w:p w:rsidR="00DA1DD0" w:rsidRPr="00060939" w:rsidRDefault="00E0779E" w:rsidP="00FC077F">
      <w:pPr>
        <w:rPr>
          <w:rFonts w:ascii="NewsGoth BT" w:hAnsi="NewsGoth BT"/>
          <w:iCs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-525780</wp:posOffset>
            </wp:positionV>
            <wp:extent cx="2578735" cy="1130300"/>
            <wp:effectExtent l="0" t="0" r="0" b="0"/>
            <wp:wrapSquare wrapText="bothSides"/>
            <wp:docPr id="2" name="Picture 7" descr="Description: ACCA_Primary Logo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ACCA_Primary Logo_RGB_P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DD0" w:rsidRPr="00060939">
        <w:rPr>
          <w:rFonts w:ascii="NewsGoth BT" w:hAnsi="NewsGoth BT"/>
          <w:iCs/>
          <w:sz w:val="44"/>
          <w:szCs w:val="44"/>
        </w:rPr>
        <w:t>A guide to</w:t>
      </w:r>
    </w:p>
    <w:p w:rsidR="00DA1DD0" w:rsidRDefault="006501DA" w:rsidP="00FA576A">
      <w:pPr>
        <w:rPr>
          <w:rFonts w:ascii="NewsGoth BT" w:hAnsi="NewsGoth BT"/>
          <w:iCs/>
          <w:sz w:val="52"/>
          <w:szCs w:val="52"/>
        </w:rPr>
      </w:pPr>
      <w:r>
        <w:rPr>
          <w:rFonts w:ascii="NewsGoth BT" w:hAnsi="NewsGoth BT"/>
          <w:iCs/>
          <w:sz w:val="52"/>
          <w:szCs w:val="52"/>
        </w:rPr>
        <w:t xml:space="preserve">Autumn </w:t>
      </w:r>
      <w:r w:rsidR="00CD6444">
        <w:rPr>
          <w:rFonts w:ascii="NewsGoth BT" w:hAnsi="NewsGoth BT"/>
          <w:iCs/>
          <w:sz w:val="52"/>
          <w:szCs w:val="52"/>
        </w:rPr>
        <w:t>Budget 201</w:t>
      </w:r>
      <w:r w:rsidR="00A96611">
        <w:rPr>
          <w:rFonts w:ascii="NewsGoth BT" w:hAnsi="NewsGoth BT"/>
          <w:iCs/>
          <w:sz w:val="52"/>
          <w:szCs w:val="52"/>
        </w:rPr>
        <w:t>8</w:t>
      </w:r>
    </w:p>
    <w:p w:rsidR="00DA1DD0" w:rsidRDefault="00DA1DD0" w:rsidP="00FA576A">
      <w:pPr>
        <w:pStyle w:val="Heading3"/>
        <w:spacing w:before="0" w:after="0"/>
        <w:rPr>
          <w:rFonts w:ascii="NewsGoth BT" w:hAnsi="NewsGoth BT"/>
          <w:bCs w:val="0"/>
          <w:sz w:val="20"/>
        </w:rPr>
      </w:pPr>
    </w:p>
    <w:p w:rsidR="00DA1DD0" w:rsidRDefault="00DA1DD0" w:rsidP="00FA576A">
      <w:pPr>
        <w:pStyle w:val="Heading3"/>
        <w:spacing w:before="0" w:after="0"/>
        <w:rPr>
          <w:rFonts w:ascii="NewsGoth BT" w:hAnsi="NewsGoth BT"/>
          <w:bCs w:val="0"/>
          <w:sz w:val="20"/>
        </w:rPr>
      </w:pPr>
    </w:p>
    <w:p w:rsidR="00DA1DD0" w:rsidRPr="00A85E8F" w:rsidRDefault="00DA1DD0" w:rsidP="00845527">
      <w:pPr>
        <w:pStyle w:val="Heading3"/>
        <w:spacing w:before="0" w:after="0"/>
        <w:rPr>
          <w:bCs w:val="0"/>
          <w:sz w:val="22"/>
          <w:szCs w:val="22"/>
        </w:rPr>
      </w:pPr>
      <w:r w:rsidRPr="00A85E8F">
        <w:rPr>
          <w:bCs w:val="0"/>
          <w:sz w:val="22"/>
          <w:szCs w:val="22"/>
        </w:rPr>
        <w:t>A</w:t>
      </w:r>
      <w:r w:rsidR="00CD6444" w:rsidRPr="00A85E8F">
        <w:rPr>
          <w:bCs w:val="0"/>
          <w:sz w:val="22"/>
          <w:szCs w:val="22"/>
        </w:rPr>
        <w:t xml:space="preserve"> SIMPLE GUIDE TO THE BUDGET 201</w:t>
      </w:r>
      <w:r w:rsidR="00A96611" w:rsidRPr="00A85E8F">
        <w:rPr>
          <w:bCs w:val="0"/>
          <w:sz w:val="22"/>
          <w:szCs w:val="22"/>
        </w:rPr>
        <w:t>8</w:t>
      </w:r>
    </w:p>
    <w:p w:rsidR="0065704D" w:rsidRPr="00A85E8F" w:rsidRDefault="0065704D" w:rsidP="0065704D">
      <w:pPr>
        <w:rPr>
          <w:rFonts w:ascii="Arial" w:hAnsi="Arial" w:cs="Arial"/>
          <w:sz w:val="22"/>
          <w:szCs w:val="22"/>
        </w:rPr>
      </w:pPr>
      <w:r w:rsidRPr="00A85E8F">
        <w:rPr>
          <w:rFonts w:ascii="Arial" w:hAnsi="Arial" w:cs="Arial"/>
          <w:sz w:val="22"/>
          <w:szCs w:val="22"/>
        </w:rPr>
        <w:t>This is a basic guide, prepared by ACCA’s Technical Advisory team, for members and their colleagues or clients. It is an introduction only and should not be used as a definitive guide, since individual circumstances may vary. Specific advice should be obtained, where necessary.</w:t>
      </w:r>
    </w:p>
    <w:p w:rsidR="0065704D" w:rsidRPr="00A85E8F" w:rsidRDefault="0065704D" w:rsidP="0065704D">
      <w:pPr>
        <w:rPr>
          <w:rFonts w:ascii="Arial" w:hAnsi="Arial" w:cs="Arial"/>
          <w:sz w:val="22"/>
          <w:szCs w:val="22"/>
        </w:rPr>
      </w:pPr>
    </w:p>
    <w:p w:rsidR="00A96611" w:rsidRPr="00A85E8F" w:rsidRDefault="0065704D" w:rsidP="0065704D">
      <w:pPr>
        <w:rPr>
          <w:rFonts w:ascii="Arial" w:hAnsi="Arial" w:cs="Arial"/>
          <w:color w:val="0B0C0C"/>
          <w:sz w:val="22"/>
          <w:szCs w:val="22"/>
          <w:shd w:val="clear" w:color="auto" w:fill="FFFFFF"/>
        </w:rPr>
      </w:pPr>
      <w:r w:rsidRPr="00A85E8F">
        <w:rPr>
          <w:rFonts w:ascii="Arial" w:hAnsi="Arial" w:cs="Arial"/>
          <w:sz w:val="22"/>
          <w:szCs w:val="22"/>
        </w:rPr>
        <w:t>The message from the Chancellor was</w:t>
      </w:r>
      <w:r w:rsidRPr="00A85E8F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that </w:t>
      </w:r>
      <w:r w:rsidR="00BD6460">
        <w:rPr>
          <w:rFonts w:ascii="Arial" w:hAnsi="Arial" w:cs="Arial"/>
          <w:color w:val="0B0C0C"/>
          <w:sz w:val="22"/>
          <w:szCs w:val="22"/>
          <w:shd w:val="clear" w:color="auto" w:fill="FFFFFF"/>
        </w:rPr>
        <w:t>‘</w:t>
      </w:r>
      <w:r w:rsidR="00A96611" w:rsidRPr="00A85E8F">
        <w:rPr>
          <w:rFonts w:ascii="Arial" w:hAnsi="Arial" w:cs="Arial"/>
          <w:color w:val="0B0C0C"/>
          <w:sz w:val="22"/>
          <w:szCs w:val="22"/>
          <w:shd w:val="clear" w:color="auto" w:fill="FFFFFF"/>
        </w:rPr>
        <w:t>this is a budget that shows the British people that the hard work is paying off.</w:t>
      </w:r>
      <w:r w:rsidR="00BD6460">
        <w:rPr>
          <w:rFonts w:ascii="Arial" w:hAnsi="Arial" w:cs="Arial"/>
          <w:color w:val="0B0C0C"/>
          <w:sz w:val="22"/>
          <w:szCs w:val="22"/>
          <w:shd w:val="clear" w:color="auto" w:fill="FFFFFF"/>
        </w:rPr>
        <w:t>’</w:t>
      </w:r>
    </w:p>
    <w:p w:rsidR="00A96611" w:rsidRPr="00A85E8F" w:rsidRDefault="00A96611" w:rsidP="0065704D">
      <w:pPr>
        <w:rPr>
          <w:rFonts w:ascii="Arial" w:hAnsi="Arial" w:cs="Arial"/>
          <w:color w:val="0B0C0C"/>
          <w:sz w:val="22"/>
          <w:szCs w:val="22"/>
          <w:shd w:val="clear" w:color="auto" w:fill="FFFFFF"/>
        </w:rPr>
      </w:pPr>
    </w:p>
    <w:p w:rsidR="0065704D" w:rsidRPr="00A85E8F" w:rsidRDefault="0065704D" w:rsidP="0065704D">
      <w:pPr>
        <w:rPr>
          <w:rFonts w:ascii="Arial" w:hAnsi="Arial" w:cs="Arial"/>
          <w:sz w:val="22"/>
          <w:szCs w:val="22"/>
        </w:rPr>
      </w:pPr>
      <w:r w:rsidRPr="00A85E8F">
        <w:rPr>
          <w:rFonts w:ascii="Arial" w:hAnsi="Arial" w:cs="Arial"/>
          <w:sz w:val="22"/>
          <w:szCs w:val="22"/>
        </w:rPr>
        <w:t>You can read the individual measures and details of some of the numerous consultations below.</w:t>
      </w:r>
    </w:p>
    <w:p w:rsidR="003509D0" w:rsidRPr="00A85E8F" w:rsidRDefault="003509D0" w:rsidP="00845527">
      <w:pPr>
        <w:rPr>
          <w:rFonts w:ascii="Arial" w:hAnsi="Arial" w:cs="Arial"/>
          <w:sz w:val="22"/>
          <w:szCs w:val="22"/>
        </w:rPr>
      </w:pPr>
    </w:p>
    <w:p w:rsidR="003509D0" w:rsidRPr="00A85E8F" w:rsidRDefault="003509D0" w:rsidP="00845527">
      <w:pPr>
        <w:rPr>
          <w:rFonts w:ascii="Arial" w:hAnsi="Arial" w:cs="Arial"/>
          <w:b/>
          <w:sz w:val="22"/>
          <w:szCs w:val="22"/>
        </w:rPr>
      </w:pPr>
      <w:r w:rsidRPr="00A85E8F">
        <w:rPr>
          <w:rFonts w:ascii="Arial" w:hAnsi="Arial" w:cs="Arial"/>
          <w:b/>
          <w:sz w:val="22"/>
          <w:szCs w:val="22"/>
        </w:rPr>
        <w:t>Rates and allowances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9"/>
        <w:gridCol w:w="1984"/>
        <w:gridCol w:w="1985"/>
      </w:tblGrid>
      <w:tr w:rsidR="006D4580" w:rsidRPr="00A85E8F" w:rsidTr="00AF44C6">
        <w:trPr>
          <w:trHeight w:val="255"/>
        </w:trPr>
        <w:tc>
          <w:tcPr>
            <w:tcW w:w="5969" w:type="dxa"/>
            <w:shd w:val="clear" w:color="auto" w:fill="D9D9D9"/>
            <w:noWrap/>
            <w:vAlign w:val="bottom"/>
          </w:tcPr>
          <w:p w:rsidR="006D4580" w:rsidRPr="00A85E8F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84" w:type="dxa"/>
            <w:shd w:val="clear" w:color="auto" w:fill="D9D9D9"/>
            <w:noWrap/>
            <w:vAlign w:val="bottom"/>
          </w:tcPr>
          <w:p w:rsidR="006D4580" w:rsidRPr="00A85E8F" w:rsidRDefault="00A96611" w:rsidP="00AF44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2019/20</w:t>
            </w:r>
          </w:p>
        </w:tc>
        <w:tc>
          <w:tcPr>
            <w:tcW w:w="1985" w:type="dxa"/>
            <w:shd w:val="clear" w:color="auto" w:fill="D9D9D9"/>
            <w:noWrap/>
            <w:vAlign w:val="bottom"/>
          </w:tcPr>
          <w:p w:rsidR="006D4580" w:rsidRPr="00A85E8F" w:rsidRDefault="00AF44C6" w:rsidP="00AF44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201</w:t>
            </w:r>
            <w:r w:rsidR="00932D05" w:rsidRPr="00A85E8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8</w:t>
            </w:r>
            <w:r w:rsidR="006D4580" w:rsidRPr="00A85E8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/1</w:t>
            </w:r>
            <w:r w:rsidR="00932D05" w:rsidRPr="00A85E8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9</w:t>
            </w:r>
          </w:p>
        </w:tc>
      </w:tr>
      <w:tr w:rsidR="006D4580" w:rsidRPr="00A85E8F" w:rsidTr="00AF44C6">
        <w:trPr>
          <w:trHeight w:val="255"/>
        </w:trPr>
        <w:tc>
          <w:tcPr>
            <w:tcW w:w="5969" w:type="dxa"/>
            <w:noWrap/>
            <w:vAlign w:val="bottom"/>
          </w:tcPr>
          <w:p w:rsidR="006D4580" w:rsidRPr="00A85E8F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84" w:type="dxa"/>
            <w:noWrap/>
            <w:vAlign w:val="bottom"/>
          </w:tcPr>
          <w:p w:rsidR="006D4580" w:rsidRPr="00A85E8F" w:rsidRDefault="006D4580" w:rsidP="00AF44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985" w:type="dxa"/>
            <w:noWrap/>
            <w:vAlign w:val="bottom"/>
          </w:tcPr>
          <w:p w:rsidR="006D4580" w:rsidRPr="00A85E8F" w:rsidRDefault="006D4580" w:rsidP="00AF44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£</w:t>
            </w:r>
          </w:p>
        </w:tc>
      </w:tr>
      <w:tr w:rsidR="006D4580" w:rsidRPr="00A85E8F" w:rsidTr="00AF44C6">
        <w:trPr>
          <w:trHeight w:val="255"/>
        </w:trPr>
        <w:tc>
          <w:tcPr>
            <w:tcW w:w="9938" w:type="dxa"/>
            <w:gridSpan w:val="3"/>
            <w:shd w:val="clear" w:color="auto" w:fill="D9D9D9"/>
            <w:noWrap/>
            <w:vAlign w:val="bottom"/>
          </w:tcPr>
          <w:p w:rsidR="006D4580" w:rsidRPr="00A85E8F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Income tax rates - (non-dividend income)</w:t>
            </w:r>
          </w:p>
        </w:tc>
      </w:tr>
      <w:tr w:rsidR="006D4580" w:rsidRPr="00A85E8F" w:rsidTr="00AF44C6">
        <w:trPr>
          <w:trHeight w:val="255"/>
        </w:trPr>
        <w:tc>
          <w:tcPr>
            <w:tcW w:w="5969" w:type="dxa"/>
            <w:noWrap/>
            <w:vAlign w:val="bottom"/>
          </w:tcPr>
          <w:p w:rsidR="006D4580" w:rsidRPr="00A85E8F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0% lower rate tax - savings rate only</w:t>
            </w:r>
          </w:p>
        </w:tc>
        <w:tc>
          <w:tcPr>
            <w:tcW w:w="1984" w:type="dxa"/>
            <w:noWrap/>
            <w:vAlign w:val="bottom"/>
          </w:tcPr>
          <w:p w:rsidR="006D4580" w:rsidRPr="00A85E8F" w:rsidRDefault="002D1E66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Up to 5,000</w:t>
            </w:r>
          </w:p>
        </w:tc>
        <w:tc>
          <w:tcPr>
            <w:tcW w:w="1985" w:type="dxa"/>
            <w:noWrap/>
            <w:vAlign w:val="bottom"/>
          </w:tcPr>
          <w:p w:rsidR="006D4580" w:rsidRPr="00A85E8F" w:rsidRDefault="006D4580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Up to 5,000</w:t>
            </w:r>
          </w:p>
        </w:tc>
      </w:tr>
      <w:tr w:rsidR="006D4580" w:rsidRPr="00A85E8F" w:rsidTr="00AF44C6">
        <w:trPr>
          <w:trHeight w:val="255"/>
        </w:trPr>
        <w:tc>
          <w:tcPr>
            <w:tcW w:w="5969" w:type="dxa"/>
            <w:noWrap/>
            <w:vAlign w:val="bottom"/>
          </w:tcPr>
          <w:p w:rsidR="006D4580" w:rsidRPr="00A85E8F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20% basic rate tax</w:t>
            </w:r>
          </w:p>
        </w:tc>
        <w:tc>
          <w:tcPr>
            <w:tcW w:w="1984" w:type="dxa"/>
            <w:noWrap/>
            <w:vAlign w:val="bottom"/>
          </w:tcPr>
          <w:p w:rsidR="006D4580" w:rsidRPr="00A85E8F" w:rsidRDefault="002D1E66" w:rsidP="00932D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12,501 to 50,000</w:t>
            </w:r>
          </w:p>
        </w:tc>
        <w:tc>
          <w:tcPr>
            <w:tcW w:w="1985" w:type="dxa"/>
            <w:noWrap/>
            <w:vAlign w:val="bottom"/>
          </w:tcPr>
          <w:p w:rsidR="006D4580" w:rsidRPr="00A85E8F" w:rsidRDefault="00AF44C6" w:rsidP="00434D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11,</w:t>
            </w:r>
            <w:r w:rsidR="00434DC2" w:rsidRPr="00A85E8F">
              <w:rPr>
                <w:rFonts w:ascii="Arial" w:hAnsi="Arial" w:cs="Arial"/>
                <w:sz w:val="22"/>
                <w:szCs w:val="22"/>
              </w:rPr>
              <w:t xml:space="preserve">851 </w:t>
            </w:r>
            <w:r w:rsidR="006D4580" w:rsidRPr="00A85E8F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434DC2" w:rsidRPr="00A85E8F">
              <w:rPr>
                <w:rFonts w:ascii="Arial" w:hAnsi="Arial" w:cs="Arial"/>
                <w:sz w:val="22"/>
                <w:szCs w:val="22"/>
              </w:rPr>
              <w:t>46,350</w:t>
            </w:r>
          </w:p>
        </w:tc>
      </w:tr>
      <w:tr w:rsidR="006D4580" w:rsidRPr="00A85E8F" w:rsidTr="00AF44C6">
        <w:trPr>
          <w:trHeight w:val="255"/>
        </w:trPr>
        <w:tc>
          <w:tcPr>
            <w:tcW w:w="5969" w:type="dxa"/>
            <w:noWrap/>
            <w:vAlign w:val="bottom"/>
          </w:tcPr>
          <w:p w:rsidR="006D4580" w:rsidRPr="00A85E8F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40% higher rate tax</w:t>
            </w:r>
          </w:p>
        </w:tc>
        <w:tc>
          <w:tcPr>
            <w:tcW w:w="1984" w:type="dxa"/>
            <w:noWrap/>
            <w:vAlign w:val="bottom"/>
          </w:tcPr>
          <w:p w:rsidR="006D4580" w:rsidRPr="00A85E8F" w:rsidRDefault="002D1E66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50,001 to 150,000</w:t>
            </w:r>
          </w:p>
        </w:tc>
        <w:tc>
          <w:tcPr>
            <w:tcW w:w="1985" w:type="dxa"/>
            <w:noWrap/>
            <w:vAlign w:val="bottom"/>
          </w:tcPr>
          <w:p w:rsidR="006D4580" w:rsidRPr="00A85E8F" w:rsidRDefault="00434DC2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46,351</w:t>
            </w:r>
            <w:r w:rsidR="002D1E66" w:rsidRPr="00A85E8F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6D4580" w:rsidRPr="00A85E8F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</w:tr>
      <w:tr w:rsidR="006D4580" w:rsidRPr="00A85E8F" w:rsidTr="00AF44C6">
        <w:trPr>
          <w:trHeight w:val="255"/>
        </w:trPr>
        <w:tc>
          <w:tcPr>
            <w:tcW w:w="5969" w:type="dxa"/>
            <w:noWrap/>
            <w:vAlign w:val="bottom"/>
          </w:tcPr>
          <w:p w:rsidR="006D4580" w:rsidRPr="00A85E8F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45% additional rate tax</w:t>
            </w:r>
          </w:p>
        </w:tc>
        <w:tc>
          <w:tcPr>
            <w:tcW w:w="1984" w:type="dxa"/>
            <w:noWrap/>
            <w:vAlign w:val="bottom"/>
          </w:tcPr>
          <w:p w:rsidR="006D4580" w:rsidRPr="00A85E8F" w:rsidRDefault="002D1E66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Above 150,000</w:t>
            </w:r>
          </w:p>
        </w:tc>
        <w:tc>
          <w:tcPr>
            <w:tcW w:w="1985" w:type="dxa"/>
            <w:noWrap/>
            <w:vAlign w:val="bottom"/>
          </w:tcPr>
          <w:p w:rsidR="006D4580" w:rsidRPr="00A85E8F" w:rsidRDefault="002D1E66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 xml:space="preserve">Above </w:t>
            </w:r>
            <w:r w:rsidR="006D4580" w:rsidRPr="00A85E8F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</w:tr>
      <w:tr w:rsidR="00AF44C6" w:rsidRPr="00A85E8F" w:rsidTr="00AF44C6">
        <w:trPr>
          <w:trHeight w:val="255"/>
        </w:trPr>
        <w:tc>
          <w:tcPr>
            <w:tcW w:w="9938" w:type="dxa"/>
            <w:gridSpan w:val="3"/>
            <w:shd w:val="clear" w:color="auto" w:fill="D9D9D9"/>
            <w:noWrap/>
            <w:vAlign w:val="bottom"/>
          </w:tcPr>
          <w:p w:rsidR="00AF44C6" w:rsidRPr="00A85E8F" w:rsidRDefault="00AF44C6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Scottish Income tax rates - (non-dividend income)</w:t>
            </w:r>
          </w:p>
        </w:tc>
      </w:tr>
      <w:tr w:rsidR="00E262CF" w:rsidRPr="00A85E8F" w:rsidTr="00E262CF">
        <w:trPr>
          <w:trHeight w:val="255"/>
        </w:trPr>
        <w:tc>
          <w:tcPr>
            <w:tcW w:w="5969" w:type="dxa"/>
            <w:noWrap/>
            <w:vAlign w:val="bottom"/>
          </w:tcPr>
          <w:p w:rsidR="00E262CF" w:rsidRPr="00A85E8F" w:rsidRDefault="00E262CF" w:rsidP="002D1E6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19% starting rate tax</w:t>
            </w:r>
          </w:p>
        </w:tc>
        <w:tc>
          <w:tcPr>
            <w:tcW w:w="1984" w:type="dxa"/>
            <w:vMerge w:val="restart"/>
            <w:noWrap/>
          </w:tcPr>
          <w:p w:rsidR="00E262CF" w:rsidRPr="00A85E8F" w:rsidRDefault="00E262CF" w:rsidP="00E262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See below</w:t>
            </w:r>
          </w:p>
        </w:tc>
        <w:tc>
          <w:tcPr>
            <w:tcW w:w="1985" w:type="dxa"/>
            <w:noWrap/>
            <w:vAlign w:val="bottom"/>
          </w:tcPr>
          <w:p w:rsidR="00E262CF" w:rsidRPr="00A85E8F" w:rsidRDefault="00E262CF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11,850 to 13,850</w:t>
            </w:r>
          </w:p>
        </w:tc>
      </w:tr>
      <w:tr w:rsidR="00E262CF" w:rsidRPr="00A85E8F" w:rsidTr="00AF44C6">
        <w:trPr>
          <w:trHeight w:val="255"/>
        </w:trPr>
        <w:tc>
          <w:tcPr>
            <w:tcW w:w="5969" w:type="dxa"/>
            <w:noWrap/>
            <w:vAlign w:val="bottom"/>
          </w:tcPr>
          <w:p w:rsidR="00E262CF" w:rsidRPr="00A85E8F" w:rsidRDefault="00E262CF" w:rsidP="002D1E6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20% basic rate tax</w:t>
            </w:r>
          </w:p>
        </w:tc>
        <w:tc>
          <w:tcPr>
            <w:tcW w:w="1984" w:type="dxa"/>
            <w:vMerge/>
            <w:noWrap/>
            <w:vAlign w:val="bottom"/>
          </w:tcPr>
          <w:p w:rsidR="00E262CF" w:rsidRPr="00A85E8F" w:rsidRDefault="00E262CF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bottom"/>
          </w:tcPr>
          <w:p w:rsidR="00E262CF" w:rsidRPr="00A85E8F" w:rsidRDefault="00E262CF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13,851 to 24,000</w:t>
            </w:r>
          </w:p>
        </w:tc>
      </w:tr>
      <w:tr w:rsidR="00E262CF" w:rsidRPr="00A85E8F" w:rsidTr="00AF44C6">
        <w:trPr>
          <w:trHeight w:val="255"/>
        </w:trPr>
        <w:tc>
          <w:tcPr>
            <w:tcW w:w="5969" w:type="dxa"/>
            <w:noWrap/>
            <w:vAlign w:val="bottom"/>
          </w:tcPr>
          <w:p w:rsidR="00E262CF" w:rsidRPr="00A85E8F" w:rsidRDefault="00E262CF" w:rsidP="002D1E6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21% intermediate rate tax</w:t>
            </w:r>
          </w:p>
        </w:tc>
        <w:tc>
          <w:tcPr>
            <w:tcW w:w="1984" w:type="dxa"/>
            <w:vMerge/>
            <w:noWrap/>
            <w:vAlign w:val="bottom"/>
          </w:tcPr>
          <w:p w:rsidR="00E262CF" w:rsidRPr="00A85E8F" w:rsidRDefault="00E262CF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bottom"/>
          </w:tcPr>
          <w:p w:rsidR="00E262CF" w:rsidRPr="00A85E8F" w:rsidRDefault="00E262CF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24,001 to 43,430</w:t>
            </w:r>
          </w:p>
        </w:tc>
      </w:tr>
      <w:tr w:rsidR="00E262CF" w:rsidRPr="00A85E8F" w:rsidTr="00AF44C6">
        <w:trPr>
          <w:trHeight w:val="255"/>
        </w:trPr>
        <w:tc>
          <w:tcPr>
            <w:tcW w:w="5969" w:type="dxa"/>
            <w:noWrap/>
            <w:vAlign w:val="bottom"/>
          </w:tcPr>
          <w:p w:rsidR="00E262CF" w:rsidRPr="00A85E8F" w:rsidRDefault="00E262CF" w:rsidP="002D1E6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41% higher rate tax</w:t>
            </w:r>
          </w:p>
        </w:tc>
        <w:tc>
          <w:tcPr>
            <w:tcW w:w="1984" w:type="dxa"/>
            <w:vMerge/>
            <w:noWrap/>
            <w:vAlign w:val="bottom"/>
          </w:tcPr>
          <w:p w:rsidR="00E262CF" w:rsidRPr="00A85E8F" w:rsidRDefault="00E262CF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bottom"/>
          </w:tcPr>
          <w:p w:rsidR="00E262CF" w:rsidRPr="00A85E8F" w:rsidRDefault="00E262CF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43,431 to 150,000</w:t>
            </w:r>
          </w:p>
        </w:tc>
      </w:tr>
      <w:tr w:rsidR="00E262CF" w:rsidRPr="00A85E8F" w:rsidTr="00AF44C6">
        <w:trPr>
          <w:trHeight w:val="255"/>
        </w:trPr>
        <w:tc>
          <w:tcPr>
            <w:tcW w:w="5969" w:type="dxa"/>
            <w:noWrap/>
            <w:vAlign w:val="bottom"/>
          </w:tcPr>
          <w:p w:rsidR="00E262CF" w:rsidRPr="00A85E8F" w:rsidRDefault="00E262CF" w:rsidP="002D1E6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46% top rate</w:t>
            </w:r>
          </w:p>
        </w:tc>
        <w:tc>
          <w:tcPr>
            <w:tcW w:w="1984" w:type="dxa"/>
            <w:vMerge/>
            <w:noWrap/>
            <w:vAlign w:val="bottom"/>
          </w:tcPr>
          <w:p w:rsidR="00E262CF" w:rsidRPr="00A85E8F" w:rsidRDefault="00E262CF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bottom"/>
          </w:tcPr>
          <w:p w:rsidR="00E262CF" w:rsidRPr="00A85E8F" w:rsidRDefault="00E262CF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Above 150,000</w:t>
            </w:r>
          </w:p>
        </w:tc>
      </w:tr>
      <w:tr w:rsidR="00AF44C6" w:rsidRPr="00A85E8F" w:rsidTr="00AF44C6">
        <w:trPr>
          <w:trHeight w:val="255"/>
        </w:trPr>
        <w:tc>
          <w:tcPr>
            <w:tcW w:w="9938" w:type="dxa"/>
            <w:gridSpan w:val="3"/>
            <w:shd w:val="clear" w:color="auto" w:fill="D9D9D9"/>
            <w:noWrap/>
            <w:vAlign w:val="bottom"/>
          </w:tcPr>
          <w:p w:rsidR="00AF44C6" w:rsidRPr="00A85E8F" w:rsidRDefault="00AF44C6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Personal allowance</w:t>
            </w:r>
          </w:p>
        </w:tc>
      </w:tr>
      <w:tr w:rsidR="00AF44C6" w:rsidRPr="00A85E8F" w:rsidTr="00AF44C6">
        <w:trPr>
          <w:trHeight w:val="255"/>
        </w:trPr>
        <w:tc>
          <w:tcPr>
            <w:tcW w:w="5969" w:type="dxa"/>
            <w:noWrap/>
            <w:vAlign w:val="bottom"/>
          </w:tcPr>
          <w:p w:rsidR="00AF44C6" w:rsidRPr="00A85E8F" w:rsidRDefault="00AF44C6" w:rsidP="00010DA1">
            <w:pPr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 xml:space="preserve">Personal allowance </w:t>
            </w:r>
          </w:p>
        </w:tc>
        <w:tc>
          <w:tcPr>
            <w:tcW w:w="1984" w:type="dxa"/>
            <w:noWrap/>
            <w:vAlign w:val="bottom"/>
          </w:tcPr>
          <w:p w:rsidR="00AF44C6" w:rsidRPr="00A85E8F" w:rsidRDefault="00E262CF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12,500</w:t>
            </w:r>
          </w:p>
        </w:tc>
        <w:tc>
          <w:tcPr>
            <w:tcW w:w="1985" w:type="dxa"/>
            <w:noWrap/>
            <w:vAlign w:val="bottom"/>
          </w:tcPr>
          <w:p w:rsidR="00AF44C6" w:rsidRPr="00A85E8F" w:rsidRDefault="00AF44C6" w:rsidP="00CC5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11,</w:t>
            </w:r>
            <w:r w:rsidR="00CC5FD5" w:rsidRPr="00A85E8F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</w:tr>
    </w:tbl>
    <w:p w:rsidR="006D4580" w:rsidRPr="00A85E8F" w:rsidRDefault="006D4580" w:rsidP="00845527">
      <w:pPr>
        <w:rPr>
          <w:rFonts w:ascii="Arial" w:hAnsi="Arial" w:cs="Arial"/>
          <w:sz w:val="22"/>
          <w:szCs w:val="22"/>
        </w:rPr>
      </w:pPr>
    </w:p>
    <w:p w:rsidR="00932D05" w:rsidRPr="00A85E8F" w:rsidRDefault="00932D05" w:rsidP="00845527">
      <w:pPr>
        <w:rPr>
          <w:rFonts w:ascii="Arial" w:hAnsi="Arial" w:cs="Arial"/>
          <w:sz w:val="22"/>
          <w:szCs w:val="22"/>
        </w:rPr>
      </w:pPr>
      <w:r w:rsidRPr="00A85E8F">
        <w:rPr>
          <w:rFonts w:ascii="Arial" w:hAnsi="Arial" w:cs="Arial"/>
          <w:sz w:val="22"/>
          <w:szCs w:val="22"/>
        </w:rPr>
        <w:t xml:space="preserve">The Scottish government budget will take place on </w:t>
      </w:r>
      <w:r w:rsidR="009B55A9" w:rsidRPr="00A85E8F">
        <w:rPr>
          <w:rFonts w:ascii="Arial" w:hAnsi="Arial" w:cs="Arial"/>
          <w:sz w:val="22"/>
          <w:szCs w:val="22"/>
        </w:rPr>
        <w:t>12 December 2018</w:t>
      </w:r>
      <w:r w:rsidRPr="00A85E8F">
        <w:rPr>
          <w:rFonts w:ascii="Arial" w:hAnsi="Arial" w:cs="Arial"/>
          <w:sz w:val="22"/>
          <w:szCs w:val="22"/>
        </w:rPr>
        <w:t xml:space="preserve">. </w:t>
      </w:r>
    </w:p>
    <w:p w:rsidR="00932D05" w:rsidRPr="00A85E8F" w:rsidRDefault="00932D05" w:rsidP="00845527">
      <w:pPr>
        <w:rPr>
          <w:rFonts w:ascii="Arial" w:hAnsi="Arial" w:cs="Arial"/>
          <w:sz w:val="22"/>
          <w:szCs w:val="22"/>
        </w:rPr>
      </w:pPr>
    </w:p>
    <w:p w:rsidR="009B55A9" w:rsidRPr="00A85E8F" w:rsidRDefault="009B55A9" w:rsidP="009B55A9">
      <w:pPr>
        <w:rPr>
          <w:rFonts w:ascii="Arial" w:hAnsi="Arial" w:cs="Arial"/>
          <w:sz w:val="22"/>
          <w:szCs w:val="22"/>
        </w:rPr>
      </w:pPr>
      <w:r w:rsidRPr="00A85E8F">
        <w:rPr>
          <w:rFonts w:ascii="Arial" w:hAnsi="Arial" w:cs="Arial"/>
          <w:sz w:val="22"/>
          <w:szCs w:val="22"/>
        </w:rPr>
        <w:t xml:space="preserve">The Welsh government final budget will be debated on 18 December 2018. </w:t>
      </w:r>
    </w:p>
    <w:p w:rsidR="00010DA1" w:rsidRPr="00A85E8F" w:rsidRDefault="00010DA1" w:rsidP="00010DA1">
      <w:pPr>
        <w:rPr>
          <w:rFonts w:ascii="Arial" w:hAnsi="Arial" w:cs="Arial"/>
          <w:color w:val="000000"/>
          <w:sz w:val="22"/>
          <w:szCs w:val="22"/>
        </w:rPr>
      </w:pPr>
    </w:p>
    <w:p w:rsidR="004E53C7" w:rsidRPr="00A85E8F" w:rsidRDefault="004E53C7">
      <w:pPr>
        <w:rPr>
          <w:rFonts w:ascii="Arial" w:hAnsi="Arial" w:cs="Arial"/>
          <w:b/>
          <w:bCs/>
          <w:sz w:val="22"/>
          <w:szCs w:val="22"/>
        </w:rPr>
      </w:pPr>
      <w:r w:rsidRPr="00A85E8F">
        <w:rPr>
          <w:rFonts w:ascii="Arial" w:hAnsi="Arial" w:cs="Arial"/>
          <w:b/>
          <w:bCs/>
          <w:sz w:val="22"/>
          <w:szCs w:val="22"/>
        </w:rPr>
        <w:br w:type="page"/>
      </w:r>
    </w:p>
    <w:p w:rsidR="00010DA1" w:rsidRPr="00A85E8F" w:rsidRDefault="00010DA1" w:rsidP="004E53C7">
      <w:pPr>
        <w:rPr>
          <w:rFonts w:ascii="Arial" w:hAnsi="Arial" w:cs="Arial"/>
          <w:b/>
          <w:bCs/>
          <w:sz w:val="22"/>
          <w:szCs w:val="22"/>
        </w:rPr>
      </w:pPr>
      <w:r w:rsidRPr="00A85E8F">
        <w:rPr>
          <w:rFonts w:ascii="Arial" w:hAnsi="Arial" w:cs="Arial"/>
          <w:b/>
          <w:bCs/>
          <w:sz w:val="22"/>
          <w:szCs w:val="22"/>
        </w:rPr>
        <w:lastRenderedPageBreak/>
        <w:t xml:space="preserve">Dividend </w:t>
      </w:r>
      <w:r w:rsidR="004E53C7" w:rsidRPr="00A85E8F">
        <w:rPr>
          <w:rFonts w:ascii="Arial" w:hAnsi="Arial" w:cs="Arial"/>
          <w:b/>
          <w:bCs/>
          <w:sz w:val="22"/>
          <w:szCs w:val="22"/>
        </w:rPr>
        <w:t>a</w:t>
      </w:r>
      <w:r w:rsidRPr="00A85E8F">
        <w:rPr>
          <w:rFonts w:ascii="Arial" w:hAnsi="Arial" w:cs="Arial"/>
          <w:b/>
          <w:bCs/>
          <w:sz w:val="22"/>
          <w:szCs w:val="22"/>
        </w:rPr>
        <w:t>llowance</w:t>
      </w:r>
    </w:p>
    <w:p w:rsidR="0068273D" w:rsidRPr="00A85E8F" w:rsidRDefault="00010DA1" w:rsidP="004E53C7">
      <w:pPr>
        <w:rPr>
          <w:rFonts w:ascii="Arial" w:eastAsiaTheme="minorHAnsi" w:hAnsi="Arial" w:cs="Arial"/>
          <w:sz w:val="22"/>
          <w:szCs w:val="22"/>
        </w:rPr>
      </w:pPr>
      <w:r w:rsidRPr="00A85E8F">
        <w:rPr>
          <w:rFonts w:ascii="Arial" w:hAnsi="Arial" w:cs="Arial"/>
          <w:sz w:val="22"/>
          <w:szCs w:val="22"/>
        </w:rPr>
        <w:t>The tax-free dividend allowance</w:t>
      </w:r>
      <w:r w:rsidR="00932D05" w:rsidRPr="00A85E8F">
        <w:rPr>
          <w:rFonts w:ascii="Arial" w:hAnsi="Arial" w:cs="Arial"/>
          <w:sz w:val="22"/>
          <w:szCs w:val="22"/>
        </w:rPr>
        <w:t xml:space="preserve"> </w:t>
      </w:r>
      <w:r w:rsidR="00023486" w:rsidRPr="00A85E8F">
        <w:rPr>
          <w:rFonts w:ascii="Arial" w:hAnsi="Arial" w:cs="Arial"/>
          <w:sz w:val="22"/>
          <w:szCs w:val="22"/>
        </w:rPr>
        <w:t>is unchanged at</w:t>
      </w:r>
      <w:r w:rsidRPr="00A85E8F">
        <w:rPr>
          <w:rFonts w:ascii="Arial" w:hAnsi="Arial" w:cs="Arial"/>
          <w:sz w:val="22"/>
          <w:szCs w:val="22"/>
        </w:rPr>
        <w:t xml:space="preserve"> £2,000.</w:t>
      </w:r>
      <w:r w:rsidR="0068273D" w:rsidRPr="00A85E8F">
        <w:rPr>
          <w:rFonts w:ascii="Arial" w:eastAsiaTheme="minorHAnsi" w:hAnsi="Arial" w:cs="Arial"/>
          <w:sz w:val="22"/>
          <w:szCs w:val="22"/>
        </w:rPr>
        <w:t xml:space="preserve"> </w:t>
      </w:r>
    </w:p>
    <w:p w:rsidR="00010DA1" w:rsidRPr="00A85E8F" w:rsidRDefault="00010DA1" w:rsidP="004E53C7">
      <w:pPr>
        <w:rPr>
          <w:rFonts w:ascii="Arial" w:hAnsi="Arial" w:cs="Arial"/>
          <w:sz w:val="22"/>
          <w:szCs w:val="22"/>
        </w:rPr>
      </w:pPr>
    </w:p>
    <w:p w:rsidR="0068273D" w:rsidRPr="00A85E8F" w:rsidRDefault="0068273D" w:rsidP="004E53C7">
      <w:pPr>
        <w:rPr>
          <w:rFonts w:ascii="Arial" w:eastAsiaTheme="minorHAnsi" w:hAnsi="Arial" w:cs="Arial"/>
          <w:b/>
          <w:sz w:val="22"/>
          <w:szCs w:val="22"/>
        </w:rPr>
      </w:pPr>
      <w:r w:rsidRPr="00A85E8F">
        <w:rPr>
          <w:rFonts w:ascii="Arial" w:eastAsiaTheme="minorHAnsi" w:hAnsi="Arial" w:cs="Arial"/>
          <w:b/>
          <w:sz w:val="22"/>
          <w:szCs w:val="22"/>
        </w:rPr>
        <w:t>Stamp Duty Land Tax: relief for first time buyers</w:t>
      </w:r>
    </w:p>
    <w:p w:rsidR="00434DC2" w:rsidRPr="00A85E8F" w:rsidRDefault="00A85E8F" w:rsidP="004E53C7">
      <w:pPr>
        <w:rPr>
          <w:rFonts w:ascii="Arial" w:eastAsiaTheme="minorHAnsi" w:hAnsi="Arial" w:cs="Arial"/>
          <w:sz w:val="22"/>
          <w:szCs w:val="22"/>
          <w:lang w:val="en"/>
        </w:rPr>
      </w:pPr>
      <w:r w:rsidRPr="00A85E8F">
        <w:rPr>
          <w:rFonts w:ascii="Arial" w:hAnsi="Arial" w:cs="Arial"/>
          <w:sz w:val="22"/>
          <w:szCs w:val="22"/>
        </w:rPr>
        <w:t>The chancellor announced relief up to the value of £500,000 back-dating from 22 November 2017, so that those eligible who have not previously claimed first-time buyers’ relief will be able to amend their return to claim a refund.</w:t>
      </w:r>
      <w:r w:rsidR="00434DC2" w:rsidRPr="00A85E8F">
        <w:rPr>
          <w:rFonts w:ascii="Arial" w:eastAsiaTheme="minorHAnsi" w:hAnsi="Arial" w:cs="Arial"/>
          <w:sz w:val="22"/>
          <w:szCs w:val="22"/>
        </w:rPr>
        <w:t xml:space="preserve"> </w:t>
      </w:r>
      <w:r w:rsidR="00434DC2" w:rsidRPr="00A85E8F">
        <w:rPr>
          <w:rFonts w:ascii="Arial" w:eastAsiaTheme="minorHAnsi" w:hAnsi="Arial" w:cs="Arial"/>
          <w:sz w:val="22"/>
          <w:szCs w:val="22"/>
          <w:lang w:val="en"/>
        </w:rPr>
        <w:t>This measure does not apply in Scotland</w:t>
      </w:r>
      <w:r w:rsidR="00023486" w:rsidRPr="00A85E8F">
        <w:rPr>
          <w:rFonts w:ascii="Arial" w:eastAsiaTheme="minorHAnsi" w:hAnsi="Arial" w:cs="Arial"/>
          <w:sz w:val="22"/>
          <w:szCs w:val="22"/>
          <w:lang w:val="en"/>
        </w:rPr>
        <w:t xml:space="preserve"> or Wales</w:t>
      </w:r>
    </w:p>
    <w:p w:rsidR="00604FE2" w:rsidRPr="00A85E8F" w:rsidRDefault="00604FE2" w:rsidP="003509D0">
      <w:pPr>
        <w:autoSpaceDE w:val="0"/>
        <w:autoSpaceDN w:val="0"/>
        <w:rPr>
          <w:rFonts w:ascii="Arial" w:hAnsi="Arial" w:cs="Arial"/>
          <w:sz w:val="22"/>
          <w:szCs w:val="22"/>
          <w:lang w:eastAsia="en-GB"/>
        </w:rPr>
      </w:pPr>
    </w:p>
    <w:p w:rsidR="003509D0" w:rsidRPr="00A85E8F" w:rsidRDefault="003509D0" w:rsidP="003509D0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A85E8F">
        <w:rPr>
          <w:rFonts w:ascii="Arial" w:hAnsi="Arial" w:cs="Arial"/>
          <w:b/>
          <w:bCs/>
          <w:sz w:val="22"/>
          <w:szCs w:val="22"/>
        </w:rPr>
        <w:t>Corporation tax</w:t>
      </w:r>
    </w:p>
    <w:p w:rsidR="003509D0" w:rsidRPr="00A85E8F" w:rsidRDefault="00AF44C6" w:rsidP="003509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85E8F">
        <w:rPr>
          <w:rFonts w:ascii="Arial" w:hAnsi="Arial" w:cs="Arial"/>
          <w:color w:val="000000"/>
          <w:sz w:val="22"/>
          <w:szCs w:val="22"/>
        </w:rPr>
        <w:t>T</w:t>
      </w:r>
      <w:r w:rsidR="003509D0" w:rsidRPr="00A85E8F">
        <w:rPr>
          <w:rFonts w:ascii="Arial" w:hAnsi="Arial" w:cs="Arial"/>
          <w:color w:val="000000"/>
          <w:sz w:val="22"/>
          <w:szCs w:val="22"/>
        </w:rPr>
        <w:t>he corporation tax</w:t>
      </w:r>
      <w:r w:rsidR="00010DA1" w:rsidRPr="00A85E8F">
        <w:rPr>
          <w:rFonts w:ascii="Arial" w:hAnsi="Arial" w:cs="Arial"/>
          <w:color w:val="000000"/>
          <w:sz w:val="22"/>
          <w:szCs w:val="22"/>
        </w:rPr>
        <w:t xml:space="preserve"> rate</w:t>
      </w:r>
      <w:r w:rsidR="003509D0" w:rsidRPr="00A85E8F">
        <w:rPr>
          <w:rFonts w:ascii="Arial" w:hAnsi="Arial" w:cs="Arial"/>
          <w:color w:val="000000"/>
          <w:sz w:val="22"/>
          <w:szCs w:val="22"/>
        </w:rPr>
        <w:t xml:space="preserve"> will </w:t>
      </w:r>
      <w:r w:rsidR="00434DC2" w:rsidRPr="00A85E8F">
        <w:rPr>
          <w:rFonts w:ascii="Arial" w:hAnsi="Arial" w:cs="Arial"/>
          <w:color w:val="000000"/>
          <w:sz w:val="22"/>
          <w:szCs w:val="22"/>
        </w:rPr>
        <w:t>remain at</w:t>
      </w:r>
      <w:r w:rsidR="00010DA1" w:rsidRPr="00A85E8F">
        <w:rPr>
          <w:rFonts w:ascii="Arial" w:hAnsi="Arial" w:cs="Arial"/>
          <w:color w:val="000000"/>
          <w:sz w:val="22"/>
          <w:szCs w:val="22"/>
        </w:rPr>
        <w:t xml:space="preserve"> 19</w:t>
      </w:r>
      <w:r w:rsidR="003509D0" w:rsidRPr="00A85E8F">
        <w:rPr>
          <w:rFonts w:ascii="Arial" w:hAnsi="Arial" w:cs="Arial"/>
          <w:color w:val="000000"/>
          <w:sz w:val="22"/>
          <w:szCs w:val="22"/>
        </w:rPr>
        <w:t>%</w:t>
      </w:r>
      <w:r w:rsidR="00434DC2" w:rsidRPr="00A85E8F">
        <w:rPr>
          <w:rFonts w:ascii="Arial" w:hAnsi="Arial" w:cs="Arial"/>
          <w:color w:val="000000"/>
          <w:sz w:val="22"/>
          <w:szCs w:val="22"/>
        </w:rPr>
        <w:t xml:space="preserve">. </w:t>
      </w:r>
      <w:r w:rsidR="00583DB3" w:rsidRPr="00A85E8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509D0" w:rsidRPr="00A85E8F" w:rsidRDefault="003509D0" w:rsidP="003509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5354" w:rsidRPr="00A85E8F" w:rsidRDefault="00FC5354" w:rsidP="00845527">
      <w:pPr>
        <w:rPr>
          <w:rFonts w:ascii="Arial" w:hAnsi="Arial" w:cs="Arial"/>
          <w:b/>
          <w:sz w:val="22"/>
          <w:szCs w:val="22"/>
        </w:rPr>
      </w:pPr>
      <w:r w:rsidRPr="00A85E8F">
        <w:rPr>
          <w:rFonts w:ascii="Arial" w:hAnsi="Arial" w:cs="Arial"/>
          <w:b/>
          <w:sz w:val="22"/>
          <w:szCs w:val="22"/>
        </w:rPr>
        <w:t xml:space="preserve">Annual </w:t>
      </w:r>
      <w:r w:rsidR="004E53C7" w:rsidRPr="00A85E8F">
        <w:rPr>
          <w:rFonts w:ascii="Arial" w:hAnsi="Arial" w:cs="Arial"/>
          <w:b/>
          <w:sz w:val="22"/>
          <w:szCs w:val="22"/>
        </w:rPr>
        <w:t>i</w:t>
      </w:r>
      <w:r w:rsidRPr="00A85E8F">
        <w:rPr>
          <w:rFonts w:ascii="Arial" w:hAnsi="Arial" w:cs="Arial"/>
          <w:b/>
          <w:sz w:val="22"/>
          <w:szCs w:val="22"/>
        </w:rPr>
        <w:t xml:space="preserve">nvestment </w:t>
      </w:r>
      <w:r w:rsidR="004E53C7" w:rsidRPr="00A85E8F">
        <w:rPr>
          <w:rFonts w:ascii="Arial" w:hAnsi="Arial" w:cs="Arial"/>
          <w:b/>
          <w:sz w:val="22"/>
          <w:szCs w:val="22"/>
        </w:rPr>
        <w:t>a</w:t>
      </w:r>
      <w:r w:rsidRPr="00A85E8F">
        <w:rPr>
          <w:rFonts w:ascii="Arial" w:hAnsi="Arial" w:cs="Arial"/>
          <w:b/>
          <w:sz w:val="22"/>
          <w:szCs w:val="22"/>
        </w:rPr>
        <w:t>llowance</w:t>
      </w:r>
    </w:p>
    <w:p w:rsidR="008D1CAC" w:rsidRPr="008D1CAC" w:rsidRDefault="008D1CAC" w:rsidP="008D1CAC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8D1CAC">
        <w:rPr>
          <w:rFonts w:ascii="Arial" w:eastAsiaTheme="minorHAnsi" w:hAnsi="Arial" w:cs="Arial"/>
          <w:sz w:val="22"/>
          <w:szCs w:val="22"/>
        </w:rPr>
        <w:t>Companies will be able to claim £1m as AIA for expenditure incurred from 1 January 2019 to 31 December 2020.</w:t>
      </w:r>
    </w:p>
    <w:p w:rsidR="009B55A9" w:rsidRPr="00A85E8F" w:rsidRDefault="009B55A9" w:rsidP="00845527">
      <w:pPr>
        <w:rPr>
          <w:rFonts w:ascii="Arial" w:hAnsi="Arial" w:cs="Arial"/>
          <w:b/>
          <w:sz w:val="22"/>
          <w:szCs w:val="22"/>
        </w:rPr>
      </w:pPr>
    </w:p>
    <w:p w:rsidR="009B55A9" w:rsidRPr="00A85E8F" w:rsidRDefault="009B55A9" w:rsidP="00845527">
      <w:pPr>
        <w:rPr>
          <w:rFonts w:ascii="Arial" w:hAnsi="Arial" w:cs="Arial"/>
          <w:b/>
          <w:sz w:val="22"/>
          <w:szCs w:val="22"/>
        </w:rPr>
      </w:pPr>
      <w:r w:rsidRPr="00A85E8F">
        <w:rPr>
          <w:rFonts w:ascii="Arial" w:hAnsi="Arial" w:cs="Arial"/>
          <w:b/>
          <w:sz w:val="22"/>
          <w:szCs w:val="22"/>
        </w:rPr>
        <w:t>Structure and Building allowance</w:t>
      </w:r>
    </w:p>
    <w:p w:rsidR="00216A34" w:rsidRPr="00A85E8F" w:rsidRDefault="00A85E8F" w:rsidP="00A85E8F">
      <w:pPr>
        <w:rPr>
          <w:rFonts w:ascii="Arial" w:hAnsi="Arial" w:cs="Arial"/>
          <w:sz w:val="22"/>
          <w:szCs w:val="22"/>
        </w:rPr>
      </w:pPr>
      <w:r w:rsidRPr="00A85E8F">
        <w:rPr>
          <w:rFonts w:ascii="Arial" w:hAnsi="Arial" w:cs="Arial"/>
          <w:sz w:val="22"/>
          <w:szCs w:val="22"/>
        </w:rPr>
        <w:t xml:space="preserve">A relief of 2% </w:t>
      </w:r>
      <w:r w:rsidR="008D1CAC" w:rsidRPr="00A85E8F">
        <w:rPr>
          <w:rFonts w:ascii="Arial" w:hAnsi="Arial" w:cs="Arial"/>
          <w:sz w:val="22"/>
          <w:szCs w:val="22"/>
        </w:rPr>
        <w:t xml:space="preserve">will </w:t>
      </w:r>
      <w:r w:rsidRPr="00A85E8F">
        <w:rPr>
          <w:rFonts w:ascii="Arial" w:hAnsi="Arial" w:cs="Arial"/>
          <w:sz w:val="22"/>
          <w:szCs w:val="22"/>
        </w:rPr>
        <w:t>be available for</w:t>
      </w:r>
      <w:r w:rsidR="008D1CAC" w:rsidRPr="00A85E8F">
        <w:rPr>
          <w:rFonts w:ascii="Arial" w:hAnsi="Arial" w:cs="Arial"/>
          <w:sz w:val="22"/>
          <w:szCs w:val="22"/>
        </w:rPr>
        <w:t xml:space="preserve"> expenditure on non-residential buildings, for which construction contracts are entered into after 29 October 2018. Qualifying costs relate to construction, improvement, conversion, including demolition costs and land alterations</w:t>
      </w:r>
      <w:r w:rsidRPr="00A85E8F">
        <w:rPr>
          <w:rFonts w:ascii="Arial" w:hAnsi="Arial" w:cs="Arial"/>
          <w:sz w:val="22"/>
          <w:szCs w:val="22"/>
        </w:rPr>
        <w:t xml:space="preserve"> costs.</w:t>
      </w:r>
    </w:p>
    <w:p w:rsidR="008D1CAC" w:rsidRPr="00A85E8F" w:rsidRDefault="008D1CAC" w:rsidP="00845527">
      <w:pPr>
        <w:rPr>
          <w:rFonts w:ascii="Arial" w:hAnsi="Arial" w:cs="Arial"/>
          <w:sz w:val="22"/>
          <w:szCs w:val="22"/>
        </w:rPr>
      </w:pPr>
    </w:p>
    <w:p w:rsidR="008D1CAC" w:rsidRPr="00A85E8F" w:rsidRDefault="008D1CAC" w:rsidP="00845527">
      <w:pPr>
        <w:rPr>
          <w:rFonts w:ascii="Arial" w:hAnsi="Arial" w:cs="Arial"/>
          <w:b/>
          <w:sz w:val="22"/>
          <w:szCs w:val="22"/>
        </w:rPr>
      </w:pPr>
      <w:r w:rsidRPr="00A85E8F">
        <w:rPr>
          <w:rFonts w:ascii="Arial" w:hAnsi="Arial" w:cs="Arial"/>
          <w:b/>
          <w:sz w:val="22"/>
          <w:szCs w:val="22"/>
        </w:rPr>
        <w:t>CGT letting relief and final period exemption</w:t>
      </w:r>
    </w:p>
    <w:p w:rsidR="00A96611" w:rsidRPr="00A85E8F" w:rsidRDefault="008D1CAC" w:rsidP="008D1CAC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8D1CAC">
        <w:rPr>
          <w:rFonts w:ascii="Arial" w:eastAsiaTheme="minorHAnsi" w:hAnsi="Arial" w:cs="Arial"/>
          <w:sz w:val="22"/>
          <w:szCs w:val="22"/>
        </w:rPr>
        <w:t xml:space="preserve">From April 2020 the government will reform lettings relief so that it only applies in circumstances where the owner of the property is in shared occupancy with the tenant. </w:t>
      </w:r>
      <w:r w:rsidRPr="00A85E8F">
        <w:rPr>
          <w:rFonts w:ascii="Arial" w:eastAsiaTheme="minorHAnsi" w:hAnsi="Arial" w:cs="Arial"/>
          <w:sz w:val="22"/>
          <w:szCs w:val="22"/>
        </w:rPr>
        <w:t>The final period exemption will also be reduced from 18 months to 9 months.</w:t>
      </w:r>
    </w:p>
    <w:p w:rsidR="00216A34" w:rsidRPr="00A85E8F" w:rsidRDefault="00216A34" w:rsidP="00845527">
      <w:pPr>
        <w:rPr>
          <w:rFonts w:ascii="Arial" w:hAnsi="Arial" w:cs="Arial"/>
          <w:bCs/>
          <w:iCs/>
          <w:sz w:val="22"/>
          <w:szCs w:val="22"/>
        </w:rPr>
      </w:pPr>
      <w:r w:rsidRPr="00A85E8F">
        <w:rPr>
          <w:rFonts w:ascii="Arial" w:hAnsi="Arial" w:cs="Arial"/>
          <w:b/>
          <w:bCs/>
          <w:iCs/>
          <w:sz w:val="22"/>
          <w:szCs w:val="22"/>
        </w:rPr>
        <w:t>Making tax digital</w:t>
      </w:r>
      <w:r w:rsidRPr="00A85E8F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8D1CAC" w:rsidRPr="00A85E8F" w:rsidRDefault="008D1CAC" w:rsidP="00845527">
      <w:pPr>
        <w:rPr>
          <w:rFonts w:ascii="Arial" w:hAnsi="Arial" w:cs="Arial"/>
          <w:b/>
          <w:sz w:val="22"/>
          <w:szCs w:val="22"/>
        </w:rPr>
      </w:pPr>
      <w:r w:rsidRPr="00A85E8F">
        <w:rPr>
          <w:rFonts w:ascii="Arial" w:hAnsi="Arial" w:cs="Arial"/>
          <w:bCs/>
          <w:iCs/>
          <w:sz w:val="22"/>
          <w:szCs w:val="22"/>
        </w:rPr>
        <w:t xml:space="preserve">There were no announcements on </w:t>
      </w:r>
      <w:r w:rsidR="00BD6460">
        <w:rPr>
          <w:rFonts w:ascii="Arial" w:hAnsi="Arial" w:cs="Arial"/>
          <w:bCs/>
          <w:iCs/>
          <w:sz w:val="22"/>
          <w:szCs w:val="22"/>
        </w:rPr>
        <w:t>MTD</w:t>
      </w:r>
      <w:r w:rsidRPr="00A85E8F">
        <w:rPr>
          <w:rFonts w:ascii="Arial" w:hAnsi="Arial" w:cs="Arial"/>
          <w:bCs/>
          <w:iCs/>
          <w:sz w:val="22"/>
          <w:szCs w:val="22"/>
        </w:rPr>
        <w:t xml:space="preserve">. HMRC </w:t>
      </w:r>
      <w:r w:rsidR="00E67FBB">
        <w:rPr>
          <w:rFonts w:ascii="Arial" w:hAnsi="Arial" w:cs="Arial"/>
          <w:bCs/>
          <w:iCs/>
          <w:sz w:val="22"/>
          <w:szCs w:val="22"/>
        </w:rPr>
        <w:t>is</w:t>
      </w:r>
      <w:r w:rsidRPr="00A85E8F">
        <w:rPr>
          <w:rFonts w:ascii="Arial" w:hAnsi="Arial" w:cs="Arial"/>
          <w:bCs/>
          <w:iCs/>
          <w:sz w:val="22"/>
          <w:szCs w:val="22"/>
        </w:rPr>
        <w:t xml:space="preserve"> aiming to </w:t>
      </w:r>
      <w:r w:rsidR="007379C6" w:rsidRPr="00A85E8F">
        <w:rPr>
          <w:rFonts w:ascii="Arial" w:hAnsi="Arial" w:cs="Arial"/>
          <w:bCs/>
          <w:iCs/>
          <w:sz w:val="22"/>
          <w:szCs w:val="22"/>
        </w:rPr>
        <w:t>introduce</w:t>
      </w:r>
      <w:r w:rsidRPr="00A85E8F">
        <w:rPr>
          <w:rFonts w:ascii="Arial" w:hAnsi="Arial" w:cs="Arial"/>
          <w:bCs/>
          <w:iCs/>
          <w:sz w:val="22"/>
          <w:szCs w:val="22"/>
        </w:rPr>
        <w:t xml:space="preserve"> MTD for VAT </w:t>
      </w:r>
      <w:r w:rsidR="00E67FBB">
        <w:rPr>
          <w:rFonts w:ascii="Arial" w:hAnsi="Arial" w:cs="Arial"/>
          <w:bCs/>
          <w:iCs/>
          <w:sz w:val="22"/>
          <w:szCs w:val="22"/>
        </w:rPr>
        <w:t>i</w:t>
      </w:r>
      <w:r w:rsidRPr="00A85E8F">
        <w:rPr>
          <w:rFonts w:ascii="Arial" w:hAnsi="Arial" w:cs="Arial"/>
          <w:bCs/>
          <w:iCs/>
          <w:sz w:val="22"/>
          <w:szCs w:val="22"/>
        </w:rPr>
        <w:t xml:space="preserve">n April 2019. </w:t>
      </w:r>
    </w:p>
    <w:p w:rsidR="003509D0" w:rsidRPr="00A85E8F" w:rsidRDefault="003509D0" w:rsidP="002555B6">
      <w:pPr>
        <w:rPr>
          <w:rFonts w:ascii="Arial" w:hAnsi="Arial" w:cs="Arial"/>
          <w:b/>
          <w:sz w:val="22"/>
          <w:szCs w:val="22"/>
          <w:lang w:eastAsia="en-GB"/>
        </w:rPr>
      </w:pPr>
    </w:p>
    <w:p w:rsidR="00694815" w:rsidRPr="00A85E8F" w:rsidRDefault="003509D0" w:rsidP="002555B6">
      <w:pPr>
        <w:rPr>
          <w:rFonts w:ascii="Arial" w:hAnsi="Arial" w:cs="Arial"/>
          <w:b/>
          <w:sz w:val="22"/>
          <w:szCs w:val="22"/>
          <w:lang w:eastAsia="en-GB"/>
        </w:rPr>
      </w:pPr>
      <w:r w:rsidRPr="00A85E8F">
        <w:rPr>
          <w:rFonts w:ascii="Arial" w:hAnsi="Arial" w:cs="Arial"/>
          <w:b/>
          <w:sz w:val="22"/>
          <w:szCs w:val="22"/>
          <w:lang w:eastAsia="en-GB"/>
        </w:rPr>
        <w:t>VAT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6"/>
        <w:gridCol w:w="1830"/>
        <w:gridCol w:w="1672"/>
      </w:tblGrid>
      <w:tr w:rsidR="006D4580" w:rsidRPr="00A85E8F" w:rsidTr="006D4580">
        <w:trPr>
          <w:trHeight w:val="255"/>
        </w:trPr>
        <w:tc>
          <w:tcPr>
            <w:tcW w:w="6436" w:type="dxa"/>
            <w:shd w:val="clear" w:color="auto" w:fill="D9D9D9"/>
            <w:noWrap/>
            <w:vAlign w:val="bottom"/>
          </w:tcPr>
          <w:p w:rsidR="006D4580" w:rsidRPr="00A85E8F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30" w:type="dxa"/>
            <w:shd w:val="clear" w:color="auto" w:fill="D9D9D9"/>
            <w:noWrap/>
            <w:vAlign w:val="bottom"/>
          </w:tcPr>
          <w:p w:rsidR="006D4580" w:rsidRPr="00A85E8F" w:rsidRDefault="00A96611" w:rsidP="00AF44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2019/20</w:t>
            </w:r>
          </w:p>
        </w:tc>
        <w:tc>
          <w:tcPr>
            <w:tcW w:w="1672" w:type="dxa"/>
            <w:shd w:val="clear" w:color="auto" w:fill="D9D9D9"/>
            <w:noWrap/>
            <w:vAlign w:val="bottom"/>
          </w:tcPr>
          <w:p w:rsidR="006D4580" w:rsidRPr="00A85E8F" w:rsidRDefault="00010DA1" w:rsidP="00AF44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201</w:t>
            </w:r>
            <w:r w:rsidR="00434DC2" w:rsidRPr="00A85E8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8</w:t>
            </w:r>
            <w:r w:rsidRPr="00A85E8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/1</w:t>
            </w:r>
            <w:r w:rsidR="00434DC2" w:rsidRPr="00A85E8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9</w:t>
            </w:r>
          </w:p>
        </w:tc>
      </w:tr>
      <w:tr w:rsidR="006D4580" w:rsidRPr="00A85E8F" w:rsidTr="006D4580">
        <w:trPr>
          <w:trHeight w:val="255"/>
        </w:trPr>
        <w:tc>
          <w:tcPr>
            <w:tcW w:w="6436" w:type="dxa"/>
            <w:noWrap/>
            <w:vAlign w:val="bottom"/>
          </w:tcPr>
          <w:p w:rsidR="006D4580" w:rsidRPr="00A85E8F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30" w:type="dxa"/>
            <w:noWrap/>
            <w:vAlign w:val="bottom"/>
          </w:tcPr>
          <w:p w:rsidR="006D4580" w:rsidRPr="00A85E8F" w:rsidRDefault="006D4580" w:rsidP="00AF44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672" w:type="dxa"/>
            <w:noWrap/>
            <w:vAlign w:val="bottom"/>
          </w:tcPr>
          <w:p w:rsidR="006D4580" w:rsidRPr="00A85E8F" w:rsidRDefault="006D4580" w:rsidP="00AF44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£</w:t>
            </w:r>
          </w:p>
        </w:tc>
      </w:tr>
      <w:tr w:rsidR="006D4580" w:rsidRPr="00A85E8F" w:rsidTr="006D4580">
        <w:trPr>
          <w:trHeight w:val="255"/>
        </w:trPr>
        <w:tc>
          <w:tcPr>
            <w:tcW w:w="9938" w:type="dxa"/>
            <w:gridSpan w:val="3"/>
            <w:shd w:val="clear" w:color="auto" w:fill="D9D9D9"/>
            <w:noWrap/>
            <w:vAlign w:val="bottom"/>
          </w:tcPr>
          <w:p w:rsidR="006D4580" w:rsidRPr="00A85E8F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VAT</w:t>
            </w:r>
          </w:p>
        </w:tc>
      </w:tr>
      <w:tr w:rsidR="006D4580" w:rsidRPr="00A85E8F" w:rsidTr="006D4580">
        <w:trPr>
          <w:trHeight w:val="255"/>
        </w:trPr>
        <w:tc>
          <w:tcPr>
            <w:tcW w:w="6436" w:type="dxa"/>
            <w:noWrap/>
            <w:vAlign w:val="bottom"/>
          </w:tcPr>
          <w:p w:rsidR="006D4580" w:rsidRPr="00A85E8F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Standard rate</w:t>
            </w:r>
          </w:p>
        </w:tc>
        <w:tc>
          <w:tcPr>
            <w:tcW w:w="1830" w:type="dxa"/>
            <w:noWrap/>
            <w:vAlign w:val="bottom"/>
          </w:tcPr>
          <w:p w:rsidR="006D4580" w:rsidRPr="00A85E8F" w:rsidRDefault="006D4580" w:rsidP="00AF44C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20%</w:t>
            </w:r>
          </w:p>
        </w:tc>
        <w:tc>
          <w:tcPr>
            <w:tcW w:w="1672" w:type="dxa"/>
            <w:noWrap/>
            <w:vAlign w:val="bottom"/>
          </w:tcPr>
          <w:p w:rsidR="006D4580" w:rsidRPr="00A85E8F" w:rsidRDefault="006D4580" w:rsidP="00AF44C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20%</w:t>
            </w:r>
          </w:p>
        </w:tc>
      </w:tr>
      <w:tr w:rsidR="006D4580" w:rsidRPr="00A85E8F" w:rsidTr="006D4580">
        <w:trPr>
          <w:trHeight w:val="255"/>
        </w:trPr>
        <w:tc>
          <w:tcPr>
            <w:tcW w:w="6436" w:type="dxa"/>
            <w:noWrap/>
            <w:vAlign w:val="bottom"/>
          </w:tcPr>
          <w:p w:rsidR="006D4580" w:rsidRPr="00A85E8F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Registration threshold</w:t>
            </w:r>
          </w:p>
        </w:tc>
        <w:tc>
          <w:tcPr>
            <w:tcW w:w="1830" w:type="dxa"/>
            <w:noWrap/>
            <w:vAlign w:val="bottom"/>
          </w:tcPr>
          <w:p w:rsidR="006D4580" w:rsidRPr="00A85E8F" w:rsidRDefault="00434DC2" w:rsidP="00434DC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85</w:t>
            </w:r>
            <w:r w:rsidR="006D4580" w:rsidRPr="00A85E8F">
              <w:rPr>
                <w:rFonts w:ascii="Arial" w:hAnsi="Arial" w:cs="Arial"/>
                <w:sz w:val="22"/>
                <w:szCs w:val="22"/>
                <w:lang w:eastAsia="en-GB"/>
              </w:rPr>
              <w:t>,000</w:t>
            </w:r>
          </w:p>
        </w:tc>
        <w:tc>
          <w:tcPr>
            <w:tcW w:w="1672" w:type="dxa"/>
            <w:noWrap/>
            <w:vAlign w:val="bottom"/>
          </w:tcPr>
          <w:p w:rsidR="006D4580" w:rsidRPr="00A85E8F" w:rsidRDefault="00010DA1" w:rsidP="00AF44C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85</w:t>
            </w:r>
            <w:r w:rsidR="006D4580" w:rsidRPr="00A85E8F">
              <w:rPr>
                <w:rFonts w:ascii="Arial" w:hAnsi="Arial" w:cs="Arial"/>
                <w:sz w:val="22"/>
                <w:szCs w:val="22"/>
                <w:lang w:eastAsia="en-GB"/>
              </w:rPr>
              <w:t>,000</w:t>
            </w:r>
          </w:p>
        </w:tc>
      </w:tr>
      <w:tr w:rsidR="006D4580" w:rsidRPr="00A85E8F" w:rsidTr="006D4580">
        <w:trPr>
          <w:trHeight w:val="255"/>
        </w:trPr>
        <w:tc>
          <w:tcPr>
            <w:tcW w:w="6436" w:type="dxa"/>
            <w:noWrap/>
            <w:vAlign w:val="bottom"/>
          </w:tcPr>
          <w:p w:rsidR="006D4580" w:rsidRPr="00A85E8F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Deregistration threshold</w:t>
            </w:r>
          </w:p>
        </w:tc>
        <w:tc>
          <w:tcPr>
            <w:tcW w:w="1830" w:type="dxa"/>
            <w:noWrap/>
            <w:vAlign w:val="bottom"/>
          </w:tcPr>
          <w:p w:rsidR="006D4580" w:rsidRPr="00A85E8F" w:rsidRDefault="00010DA1" w:rsidP="00AF44C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8</w:t>
            </w:r>
            <w:r w:rsidR="00434DC2" w:rsidRPr="00A85E8F"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  <w:r w:rsidR="006D4580" w:rsidRPr="00A85E8F">
              <w:rPr>
                <w:rFonts w:ascii="Arial" w:hAnsi="Arial" w:cs="Arial"/>
                <w:sz w:val="22"/>
                <w:szCs w:val="22"/>
                <w:lang w:eastAsia="en-GB"/>
              </w:rPr>
              <w:t>,000</w:t>
            </w:r>
          </w:p>
        </w:tc>
        <w:tc>
          <w:tcPr>
            <w:tcW w:w="1672" w:type="dxa"/>
            <w:noWrap/>
            <w:vAlign w:val="bottom"/>
          </w:tcPr>
          <w:p w:rsidR="006D4580" w:rsidRPr="00A85E8F" w:rsidRDefault="00010DA1" w:rsidP="00AF44C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83</w:t>
            </w:r>
            <w:r w:rsidR="006D4580" w:rsidRPr="00A85E8F">
              <w:rPr>
                <w:rFonts w:ascii="Arial" w:hAnsi="Arial" w:cs="Arial"/>
                <w:sz w:val="22"/>
                <w:szCs w:val="22"/>
                <w:lang w:eastAsia="en-GB"/>
              </w:rPr>
              <w:t>,000</w:t>
            </w:r>
          </w:p>
        </w:tc>
      </w:tr>
    </w:tbl>
    <w:p w:rsidR="009502AE" w:rsidRPr="00BD6460" w:rsidRDefault="00A96611" w:rsidP="00845527">
      <w:pPr>
        <w:autoSpaceDE w:val="0"/>
        <w:autoSpaceDN w:val="0"/>
        <w:rPr>
          <w:rFonts w:ascii="Arial" w:hAnsi="Arial" w:cs="Arial"/>
          <w:bCs/>
          <w:i/>
          <w:sz w:val="22"/>
          <w:szCs w:val="22"/>
        </w:rPr>
      </w:pPr>
      <w:r w:rsidRPr="00BD6460">
        <w:rPr>
          <w:rFonts w:ascii="Arial" w:hAnsi="Arial" w:cs="Arial"/>
          <w:bCs/>
          <w:i/>
          <w:sz w:val="22"/>
          <w:szCs w:val="22"/>
        </w:rPr>
        <w:t>VAT thresholds as previously announced will remain unchanged.</w:t>
      </w:r>
    </w:p>
    <w:p w:rsidR="00010DA1" w:rsidRPr="00A85E8F" w:rsidRDefault="00010DA1" w:rsidP="00FA576A">
      <w:pPr>
        <w:rPr>
          <w:rFonts w:ascii="Arial" w:hAnsi="Arial" w:cs="Arial"/>
          <w:sz w:val="22"/>
          <w:szCs w:val="22"/>
          <w:lang w:eastAsia="en-GB"/>
        </w:rPr>
      </w:pPr>
    </w:p>
    <w:p w:rsidR="00582450" w:rsidRPr="00A85E8F" w:rsidRDefault="00582450" w:rsidP="00FA576A">
      <w:pPr>
        <w:rPr>
          <w:rFonts w:ascii="Arial" w:hAnsi="Arial" w:cs="Arial"/>
          <w:b/>
          <w:sz w:val="22"/>
          <w:szCs w:val="22"/>
        </w:rPr>
      </w:pPr>
      <w:r w:rsidRPr="00A85E8F">
        <w:rPr>
          <w:rFonts w:ascii="Arial" w:hAnsi="Arial" w:cs="Arial"/>
          <w:b/>
          <w:sz w:val="22"/>
          <w:szCs w:val="22"/>
        </w:rPr>
        <w:t>Phoenix and insolvent companies</w:t>
      </w:r>
    </w:p>
    <w:p w:rsidR="00582450" w:rsidRPr="00A85E8F" w:rsidRDefault="00582450" w:rsidP="00FA576A">
      <w:pPr>
        <w:rPr>
          <w:rFonts w:ascii="Arial" w:hAnsi="Arial" w:cs="Arial"/>
          <w:b/>
          <w:sz w:val="22"/>
          <w:szCs w:val="22"/>
        </w:rPr>
      </w:pPr>
      <w:r w:rsidRPr="00A85E8F">
        <w:rPr>
          <w:rFonts w:ascii="Arial" w:hAnsi="Arial" w:cs="Arial"/>
          <w:bCs/>
          <w:sz w:val="22"/>
          <w:szCs w:val="22"/>
        </w:rPr>
        <w:t>From 6 April 2020, the government will change the rules when a business enters insolvency HMRC will be a preferential creditor. It has also announced that</w:t>
      </w:r>
      <w:r w:rsidRPr="00A85E8F">
        <w:rPr>
          <w:rFonts w:ascii="Arial" w:hAnsi="Arial" w:cs="Arial"/>
          <w:sz w:val="22"/>
          <w:szCs w:val="22"/>
        </w:rPr>
        <w:t xml:space="preserve"> directors and other persons involved in tax avoidance, evasion or phoenixism will be jointly and severally liable for company tax liabilities</w:t>
      </w:r>
      <w:r w:rsidR="00BD6460">
        <w:rPr>
          <w:rFonts w:ascii="Arial" w:hAnsi="Arial" w:cs="Arial"/>
          <w:sz w:val="22"/>
          <w:szCs w:val="22"/>
        </w:rPr>
        <w:t>.</w:t>
      </w:r>
    </w:p>
    <w:p w:rsidR="00A85E8F" w:rsidRDefault="00A85E8F" w:rsidP="008D1CAC">
      <w:pPr>
        <w:rPr>
          <w:rFonts w:ascii="Arial" w:hAnsi="Arial" w:cs="Arial"/>
          <w:b/>
          <w:sz w:val="22"/>
          <w:szCs w:val="22"/>
        </w:rPr>
      </w:pPr>
    </w:p>
    <w:p w:rsidR="008D1CAC" w:rsidRPr="00A85E8F" w:rsidRDefault="008D1CAC" w:rsidP="00E67FBB">
      <w:pPr>
        <w:rPr>
          <w:rFonts w:ascii="Arial" w:hAnsi="Arial" w:cs="Arial"/>
          <w:b/>
          <w:sz w:val="22"/>
          <w:szCs w:val="22"/>
        </w:rPr>
      </w:pPr>
      <w:r w:rsidRPr="00A85E8F">
        <w:rPr>
          <w:rFonts w:ascii="Arial" w:hAnsi="Arial" w:cs="Arial"/>
          <w:b/>
          <w:sz w:val="22"/>
          <w:szCs w:val="22"/>
        </w:rPr>
        <w:t>Business rates</w:t>
      </w:r>
    </w:p>
    <w:p w:rsidR="008D1CAC" w:rsidRPr="00A85E8F" w:rsidRDefault="008D1CAC" w:rsidP="00E67F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85E8F">
        <w:rPr>
          <w:rFonts w:ascii="Arial" w:hAnsi="Arial" w:cs="Arial"/>
          <w:sz w:val="22"/>
          <w:szCs w:val="22"/>
        </w:rPr>
        <w:t>The threshold for Small Business Rate Relief (SBRR) has been raised to include properties with a rateable value of up to £51,000. The Treasury has announced that the bills of those below this threshold will be reduced by a third, starting from April 2019 for a period of two years.</w:t>
      </w:r>
    </w:p>
    <w:p w:rsidR="007379C6" w:rsidRPr="00A85E8F" w:rsidRDefault="007379C6" w:rsidP="00E67FBB">
      <w:pPr>
        <w:rPr>
          <w:rFonts w:ascii="Arial" w:hAnsi="Arial" w:cs="Arial"/>
          <w:sz w:val="22"/>
          <w:szCs w:val="22"/>
        </w:rPr>
      </w:pPr>
    </w:p>
    <w:p w:rsidR="008D1CAC" w:rsidRPr="00A85E8F" w:rsidRDefault="008D1CAC" w:rsidP="00E67FBB">
      <w:pPr>
        <w:rPr>
          <w:rFonts w:ascii="Arial" w:hAnsi="Arial" w:cs="Arial"/>
          <w:sz w:val="22"/>
          <w:szCs w:val="22"/>
        </w:rPr>
      </w:pPr>
      <w:r w:rsidRPr="00A85E8F">
        <w:rPr>
          <w:rFonts w:ascii="Arial" w:hAnsi="Arial" w:cs="Arial"/>
          <w:b/>
          <w:sz w:val="22"/>
          <w:szCs w:val="22"/>
        </w:rPr>
        <w:t>Apprenticeships</w:t>
      </w:r>
    </w:p>
    <w:p w:rsidR="008D1CAC" w:rsidRPr="00A85E8F" w:rsidRDefault="008D1CAC" w:rsidP="00E67FBB">
      <w:pPr>
        <w:rPr>
          <w:rFonts w:ascii="Arial" w:eastAsiaTheme="minorHAnsi" w:hAnsi="Arial" w:cs="Arial"/>
          <w:color w:val="0000FF" w:themeColor="hyperlink"/>
          <w:sz w:val="22"/>
          <w:szCs w:val="22"/>
          <w:u w:val="single"/>
        </w:rPr>
      </w:pPr>
      <w:r w:rsidRPr="00A85E8F">
        <w:rPr>
          <w:rFonts w:ascii="Arial" w:hAnsi="Arial" w:cs="Arial"/>
          <w:sz w:val="22"/>
          <w:szCs w:val="22"/>
        </w:rPr>
        <w:t>SMEs will now only pay 5% towards the cost of an apprentice’s training costs, down from the previous 10% co-investment rate. This change is expected to come into effect from April 2019.</w:t>
      </w:r>
      <w:r w:rsidRPr="00A85E8F">
        <w:rPr>
          <w:rFonts w:ascii="Arial" w:eastAsiaTheme="minorHAnsi" w:hAnsi="Arial" w:cs="Arial"/>
          <w:sz w:val="22"/>
          <w:szCs w:val="22"/>
        </w:rPr>
        <w:t xml:space="preserve"> You can find out more about ACCA Apprenticeship Programmes </w:t>
      </w:r>
      <w:hyperlink r:id="rId9" w:history="1">
        <w:r w:rsidRPr="00A85E8F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</w:rPr>
          <w:t>here</w:t>
        </w:r>
      </w:hyperlink>
    </w:p>
    <w:p w:rsidR="008D1CAC" w:rsidRPr="00A85E8F" w:rsidRDefault="008D1CAC" w:rsidP="00E67FBB">
      <w:pPr>
        <w:rPr>
          <w:rFonts w:ascii="Arial" w:hAnsi="Arial" w:cs="Arial"/>
          <w:sz w:val="22"/>
          <w:szCs w:val="22"/>
          <w:lang w:eastAsia="en-GB"/>
        </w:rPr>
      </w:pPr>
    </w:p>
    <w:p w:rsidR="008D1CAC" w:rsidRPr="00A85E8F" w:rsidRDefault="008D1CAC" w:rsidP="008D1CAC">
      <w:pPr>
        <w:rPr>
          <w:rFonts w:ascii="Arial" w:hAnsi="Arial" w:cs="Arial"/>
          <w:b/>
          <w:sz w:val="22"/>
          <w:szCs w:val="22"/>
          <w:lang w:eastAsia="en-GB"/>
        </w:rPr>
      </w:pPr>
      <w:r w:rsidRPr="00A85E8F">
        <w:rPr>
          <w:rFonts w:ascii="Arial" w:hAnsi="Arial" w:cs="Arial"/>
          <w:b/>
          <w:sz w:val="22"/>
          <w:szCs w:val="22"/>
          <w:lang w:eastAsia="en-GB"/>
        </w:rPr>
        <w:t>Taxation of trusts</w:t>
      </w:r>
    </w:p>
    <w:p w:rsidR="008D1CAC" w:rsidRPr="00A85E8F" w:rsidRDefault="008D1CAC" w:rsidP="008D1CAC">
      <w:pPr>
        <w:rPr>
          <w:rFonts w:ascii="Arial" w:hAnsi="Arial" w:cs="Arial"/>
          <w:sz w:val="22"/>
          <w:szCs w:val="22"/>
          <w:lang w:eastAsia="en-GB"/>
        </w:rPr>
      </w:pPr>
      <w:r w:rsidRPr="00A85E8F">
        <w:rPr>
          <w:rFonts w:ascii="Arial" w:hAnsi="Arial" w:cs="Arial"/>
          <w:sz w:val="22"/>
          <w:szCs w:val="22"/>
          <w:lang w:eastAsia="en-GB"/>
        </w:rPr>
        <w:t>The taxation of trusts will be subje</w:t>
      </w:r>
      <w:r w:rsidR="007379C6" w:rsidRPr="00A85E8F">
        <w:rPr>
          <w:rFonts w:ascii="Arial" w:hAnsi="Arial" w:cs="Arial"/>
          <w:sz w:val="22"/>
          <w:szCs w:val="22"/>
          <w:lang w:eastAsia="en-GB"/>
        </w:rPr>
        <w:t>ct to a consultation and review.</w:t>
      </w:r>
    </w:p>
    <w:p w:rsidR="007379C6" w:rsidRPr="00A85E8F" w:rsidRDefault="007379C6" w:rsidP="008D1CAC">
      <w:pPr>
        <w:rPr>
          <w:rFonts w:ascii="Arial" w:hAnsi="Arial" w:cs="Arial"/>
          <w:sz w:val="22"/>
          <w:szCs w:val="22"/>
          <w:lang w:eastAsia="en-GB"/>
        </w:rPr>
      </w:pPr>
    </w:p>
    <w:p w:rsidR="007379C6" w:rsidRPr="00A85E8F" w:rsidRDefault="007379C6" w:rsidP="007379C6">
      <w:pPr>
        <w:rPr>
          <w:rFonts w:ascii="Arial" w:hAnsi="Arial" w:cs="Arial"/>
          <w:b/>
          <w:sz w:val="22"/>
          <w:szCs w:val="22"/>
        </w:rPr>
      </w:pPr>
      <w:r w:rsidRPr="00A85E8F">
        <w:rPr>
          <w:rFonts w:ascii="Arial" w:hAnsi="Arial" w:cs="Arial"/>
          <w:b/>
          <w:sz w:val="22"/>
          <w:szCs w:val="22"/>
        </w:rPr>
        <w:t>R&amp;D</w:t>
      </w:r>
    </w:p>
    <w:p w:rsidR="007379C6" w:rsidRPr="00A85E8F" w:rsidRDefault="007379C6" w:rsidP="007379C6">
      <w:pPr>
        <w:rPr>
          <w:rFonts w:ascii="Arial" w:hAnsi="Arial" w:cs="Arial"/>
          <w:b/>
          <w:sz w:val="22"/>
          <w:szCs w:val="22"/>
        </w:rPr>
      </w:pPr>
      <w:r w:rsidRPr="00A85E8F">
        <w:rPr>
          <w:rFonts w:ascii="Arial" w:hAnsi="Arial" w:cs="Arial"/>
          <w:color w:val="0B0C0C"/>
          <w:sz w:val="22"/>
          <w:szCs w:val="22"/>
          <w:shd w:val="clear" w:color="auto" w:fill="FFFFFF"/>
        </w:rPr>
        <w:t>From 1 April 2020, the amount of payable R&amp;D tax credit that a qualifying loss-making company can receive in any tax year will be restricted to three times the company’s total </w:t>
      </w:r>
      <w:r w:rsidRPr="00A85E8F">
        <w:rPr>
          <w:rFonts w:ascii="Arial" w:hAnsi="Arial" w:cs="Arial"/>
          <w:sz w:val="22"/>
          <w:szCs w:val="22"/>
        </w:rPr>
        <w:t>PAYE</w:t>
      </w:r>
      <w:r w:rsidRPr="00A85E8F">
        <w:rPr>
          <w:rFonts w:ascii="Arial" w:hAnsi="Arial" w:cs="Arial"/>
          <w:color w:val="0B0C0C"/>
          <w:sz w:val="22"/>
          <w:szCs w:val="22"/>
          <w:shd w:val="clear" w:color="auto" w:fill="FFFFFF"/>
        </w:rPr>
        <w:t> and NICs liability for that year.</w:t>
      </w:r>
    </w:p>
    <w:p w:rsidR="007379C6" w:rsidRPr="00A85E8F" w:rsidRDefault="007379C6" w:rsidP="007379C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A85E8F">
        <w:rPr>
          <w:rFonts w:ascii="Arial" w:hAnsi="Arial" w:cs="Arial"/>
          <w:color w:val="333333"/>
          <w:sz w:val="22"/>
          <w:szCs w:val="22"/>
          <w:lang w:eastAsia="en-GB"/>
        </w:rPr>
        <w:br/>
      </w:r>
      <w:r w:rsidRPr="00A85E8F">
        <w:rPr>
          <w:rFonts w:ascii="Arial" w:hAnsi="Arial" w:cs="Arial"/>
          <w:b/>
          <w:bCs/>
          <w:sz w:val="22"/>
          <w:szCs w:val="22"/>
          <w:lang w:val="en-US"/>
        </w:rPr>
        <w:t>IHT</w:t>
      </w:r>
    </w:p>
    <w:p w:rsidR="007379C6" w:rsidRPr="00A85E8F" w:rsidRDefault="007379C6" w:rsidP="007379C6">
      <w:pPr>
        <w:rPr>
          <w:rFonts w:ascii="Arial" w:hAnsi="Arial" w:cs="Arial"/>
          <w:bCs/>
          <w:sz w:val="22"/>
          <w:szCs w:val="22"/>
          <w:lang w:val="en"/>
        </w:rPr>
      </w:pPr>
      <w:r w:rsidRPr="00A85E8F">
        <w:rPr>
          <w:rFonts w:ascii="Arial" w:hAnsi="Arial" w:cs="Arial"/>
          <w:bCs/>
          <w:sz w:val="22"/>
          <w:szCs w:val="22"/>
          <w:lang w:val="en-US"/>
        </w:rPr>
        <w:t>The Nil-rate band remains at £325,000. The residence nil-rate band f</w:t>
      </w:r>
      <w:r w:rsidRPr="00A85E8F">
        <w:rPr>
          <w:rFonts w:ascii="Arial" w:hAnsi="Arial" w:cs="Arial"/>
          <w:bCs/>
          <w:sz w:val="22"/>
          <w:szCs w:val="22"/>
          <w:lang w:val="en"/>
        </w:rPr>
        <w:t>or deaths in the following tax years will be:</w:t>
      </w:r>
    </w:p>
    <w:p w:rsidR="007379C6" w:rsidRPr="00A85E8F" w:rsidRDefault="007379C6" w:rsidP="007379C6">
      <w:pPr>
        <w:rPr>
          <w:rFonts w:ascii="Arial" w:hAnsi="Arial" w:cs="Arial"/>
          <w:bCs/>
          <w:sz w:val="22"/>
          <w:szCs w:val="22"/>
          <w:lang w:val="en-US"/>
        </w:rPr>
      </w:pPr>
    </w:p>
    <w:p w:rsidR="007379C6" w:rsidRPr="00BD6460" w:rsidRDefault="007379C6" w:rsidP="007379C6">
      <w:pPr>
        <w:numPr>
          <w:ilvl w:val="0"/>
          <w:numId w:val="24"/>
        </w:numPr>
        <w:rPr>
          <w:rFonts w:ascii="Arial" w:hAnsi="Arial" w:cs="Arial"/>
          <w:bCs/>
          <w:sz w:val="22"/>
          <w:szCs w:val="22"/>
          <w:lang w:val="en"/>
        </w:rPr>
      </w:pPr>
      <w:r w:rsidRPr="00BD6460">
        <w:rPr>
          <w:rFonts w:ascii="Arial" w:hAnsi="Arial" w:cs="Arial"/>
          <w:bCs/>
          <w:sz w:val="22"/>
          <w:szCs w:val="22"/>
          <w:lang w:val="en"/>
        </w:rPr>
        <w:t>£100,000 in 2017 to 2018</w:t>
      </w:r>
      <w:r w:rsidR="00BD6460" w:rsidRPr="00BD6460">
        <w:rPr>
          <w:rFonts w:ascii="Arial" w:hAnsi="Arial" w:cs="Arial"/>
          <w:bCs/>
          <w:sz w:val="22"/>
          <w:szCs w:val="22"/>
          <w:lang w:val="en"/>
        </w:rPr>
        <w:t xml:space="preserve">     </w:t>
      </w:r>
      <w:r w:rsidRPr="00BD6460">
        <w:rPr>
          <w:rFonts w:ascii="Arial" w:hAnsi="Arial" w:cs="Arial"/>
          <w:bCs/>
          <w:sz w:val="22"/>
          <w:szCs w:val="22"/>
          <w:lang w:val="en"/>
        </w:rPr>
        <w:t>£125,000 in 2018 to 2019</w:t>
      </w:r>
    </w:p>
    <w:p w:rsidR="007379C6" w:rsidRPr="00BD6460" w:rsidRDefault="007379C6" w:rsidP="007379C6">
      <w:pPr>
        <w:numPr>
          <w:ilvl w:val="0"/>
          <w:numId w:val="24"/>
        </w:numPr>
        <w:rPr>
          <w:rFonts w:ascii="Arial" w:hAnsi="Arial" w:cs="Arial"/>
          <w:bCs/>
          <w:sz w:val="22"/>
          <w:szCs w:val="22"/>
          <w:lang w:val="en"/>
        </w:rPr>
      </w:pPr>
      <w:r w:rsidRPr="00BD6460">
        <w:rPr>
          <w:rFonts w:ascii="Arial" w:hAnsi="Arial" w:cs="Arial"/>
          <w:bCs/>
          <w:sz w:val="22"/>
          <w:szCs w:val="22"/>
          <w:lang w:val="en"/>
        </w:rPr>
        <w:t>£150,000 in 2019 to 2020</w:t>
      </w:r>
      <w:r w:rsidR="00BD6460" w:rsidRPr="00BD6460">
        <w:rPr>
          <w:rFonts w:ascii="Arial" w:hAnsi="Arial" w:cs="Arial"/>
          <w:bCs/>
          <w:sz w:val="22"/>
          <w:szCs w:val="22"/>
          <w:lang w:val="en"/>
        </w:rPr>
        <w:t xml:space="preserve">     </w:t>
      </w:r>
      <w:r w:rsidRPr="00BD6460">
        <w:rPr>
          <w:rFonts w:ascii="Arial" w:hAnsi="Arial" w:cs="Arial"/>
          <w:bCs/>
          <w:sz w:val="22"/>
          <w:szCs w:val="22"/>
          <w:lang w:val="en"/>
        </w:rPr>
        <w:t>£175,000 in 2020 to 2021</w:t>
      </w:r>
    </w:p>
    <w:p w:rsidR="007379C6" w:rsidRPr="00A85E8F" w:rsidRDefault="007379C6" w:rsidP="008D1CAC">
      <w:pPr>
        <w:rPr>
          <w:rFonts w:ascii="Arial" w:hAnsi="Arial" w:cs="Arial"/>
          <w:sz w:val="22"/>
          <w:szCs w:val="22"/>
          <w:lang w:eastAsia="en-GB"/>
        </w:rPr>
      </w:pPr>
    </w:p>
    <w:p w:rsidR="007379C6" w:rsidRPr="00A85E8F" w:rsidRDefault="007379C6" w:rsidP="007379C6">
      <w:pPr>
        <w:rPr>
          <w:rFonts w:ascii="Arial" w:hAnsi="Arial" w:cs="Arial"/>
          <w:b/>
          <w:sz w:val="22"/>
          <w:szCs w:val="22"/>
        </w:rPr>
      </w:pPr>
      <w:r w:rsidRPr="00A85E8F">
        <w:rPr>
          <w:rFonts w:ascii="Arial" w:hAnsi="Arial" w:cs="Arial"/>
          <w:b/>
          <w:sz w:val="22"/>
          <w:szCs w:val="22"/>
        </w:rPr>
        <w:t>Interest relief for landlords</w:t>
      </w:r>
    </w:p>
    <w:p w:rsidR="007379C6" w:rsidRPr="00A85E8F" w:rsidRDefault="007379C6" w:rsidP="007379C6">
      <w:pPr>
        <w:rPr>
          <w:rFonts w:ascii="Arial" w:hAnsi="Arial" w:cs="Arial"/>
          <w:sz w:val="22"/>
          <w:szCs w:val="22"/>
        </w:rPr>
      </w:pPr>
      <w:r w:rsidRPr="00A85E8F">
        <w:rPr>
          <w:rFonts w:ascii="Arial" w:hAnsi="Arial" w:cs="Arial"/>
          <w:sz w:val="22"/>
          <w:szCs w:val="22"/>
        </w:rPr>
        <w:t>Landlords will be able to obtain relief as follows:</w:t>
      </w:r>
    </w:p>
    <w:p w:rsidR="007379C6" w:rsidRPr="00A85E8F" w:rsidRDefault="007379C6" w:rsidP="007379C6">
      <w:pPr>
        <w:rPr>
          <w:rFonts w:ascii="Arial" w:hAnsi="Arial" w:cs="Arial"/>
          <w:sz w:val="22"/>
          <w:szCs w:val="22"/>
        </w:rPr>
      </w:pP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  <w:t>Finance cost allowed in full</w:t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  <w:t>Finance cost allowed at basic rate</w:t>
      </w:r>
    </w:p>
    <w:p w:rsidR="007379C6" w:rsidRPr="00A85E8F" w:rsidRDefault="007379C6" w:rsidP="007379C6">
      <w:pPr>
        <w:rPr>
          <w:rFonts w:ascii="Arial" w:hAnsi="Arial" w:cs="Arial"/>
          <w:sz w:val="22"/>
          <w:szCs w:val="22"/>
        </w:rPr>
      </w:pPr>
      <w:r w:rsidRPr="00A85E8F">
        <w:rPr>
          <w:rFonts w:ascii="Arial" w:hAnsi="Arial" w:cs="Arial"/>
          <w:sz w:val="22"/>
          <w:szCs w:val="22"/>
        </w:rPr>
        <w:t>Year to 5 April 2018</w:t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  <w:t>75%</w:t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  <w:t>25%</w:t>
      </w:r>
    </w:p>
    <w:p w:rsidR="007379C6" w:rsidRPr="00A85E8F" w:rsidRDefault="007379C6" w:rsidP="007379C6">
      <w:pPr>
        <w:rPr>
          <w:rFonts w:ascii="Arial" w:hAnsi="Arial" w:cs="Arial"/>
          <w:sz w:val="22"/>
          <w:szCs w:val="22"/>
        </w:rPr>
      </w:pPr>
      <w:r w:rsidRPr="00A85E8F">
        <w:rPr>
          <w:rFonts w:ascii="Arial" w:hAnsi="Arial" w:cs="Arial"/>
          <w:sz w:val="22"/>
          <w:szCs w:val="22"/>
        </w:rPr>
        <w:t>Year to 5 April 2019</w:t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  <w:t>50%</w:t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  <w:t>50%</w:t>
      </w:r>
    </w:p>
    <w:p w:rsidR="007379C6" w:rsidRPr="00A85E8F" w:rsidRDefault="007379C6" w:rsidP="007379C6">
      <w:pPr>
        <w:rPr>
          <w:rFonts w:ascii="Arial" w:hAnsi="Arial" w:cs="Arial"/>
          <w:sz w:val="22"/>
          <w:szCs w:val="22"/>
        </w:rPr>
      </w:pPr>
      <w:r w:rsidRPr="00A85E8F">
        <w:rPr>
          <w:rFonts w:ascii="Arial" w:hAnsi="Arial" w:cs="Arial"/>
          <w:sz w:val="22"/>
          <w:szCs w:val="22"/>
        </w:rPr>
        <w:t>Year to 5 April 2020</w:t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  <w:t>25%</w:t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  <w:t>75%</w:t>
      </w:r>
    </w:p>
    <w:p w:rsidR="007379C6" w:rsidRPr="00A85E8F" w:rsidRDefault="007379C6" w:rsidP="007379C6">
      <w:pPr>
        <w:rPr>
          <w:rFonts w:ascii="Arial" w:hAnsi="Arial" w:cs="Arial"/>
          <w:sz w:val="22"/>
          <w:szCs w:val="22"/>
        </w:rPr>
      </w:pPr>
      <w:r w:rsidRPr="00A85E8F">
        <w:rPr>
          <w:rFonts w:ascii="Arial" w:hAnsi="Arial" w:cs="Arial"/>
          <w:sz w:val="22"/>
          <w:szCs w:val="22"/>
        </w:rPr>
        <w:t>Year to 5 April 2021</w:t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  <w:t>0%</w:t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</w:r>
      <w:r w:rsidRPr="00A85E8F">
        <w:rPr>
          <w:rFonts w:ascii="Arial" w:hAnsi="Arial" w:cs="Arial"/>
          <w:sz w:val="22"/>
          <w:szCs w:val="22"/>
        </w:rPr>
        <w:tab/>
        <w:t>100%</w:t>
      </w:r>
    </w:p>
    <w:p w:rsidR="008D1CAC" w:rsidRPr="00A85E8F" w:rsidRDefault="008D1CAC" w:rsidP="008D1CAC">
      <w:pPr>
        <w:rPr>
          <w:rFonts w:ascii="Arial" w:eastAsiaTheme="minorHAnsi" w:hAnsi="Arial" w:cs="Arial"/>
          <w:color w:val="0000FF" w:themeColor="hyperlink"/>
          <w:sz w:val="22"/>
          <w:szCs w:val="22"/>
          <w:u w:val="single"/>
        </w:rPr>
      </w:pPr>
    </w:p>
    <w:p w:rsidR="007379C6" w:rsidRPr="00A85E8F" w:rsidRDefault="007379C6" w:rsidP="007379C6">
      <w:pPr>
        <w:rPr>
          <w:rFonts w:ascii="Arial" w:hAnsi="Arial" w:cs="Arial"/>
          <w:sz w:val="22"/>
          <w:szCs w:val="22"/>
        </w:rPr>
      </w:pPr>
      <w:r w:rsidRPr="00A85E8F">
        <w:rPr>
          <w:rFonts w:ascii="Arial" w:hAnsi="Arial" w:cs="Arial"/>
          <w:b/>
          <w:sz w:val="22"/>
          <w:szCs w:val="22"/>
        </w:rPr>
        <w:t xml:space="preserve">IR35 </w:t>
      </w:r>
      <w:r w:rsidRPr="00A85E8F">
        <w:rPr>
          <w:rFonts w:ascii="Arial" w:hAnsi="Arial" w:cs="Arial"/>
          <w:sz w:val="22"/>
          <w:szCs w:val="22"/>
        </w:rPr>
        <w:br/>
        <w:t>The chancellor announced the extension of IR35 to the public sector. It has been recognised with issues with CEST and recent cases that changes require further thought with a resulting implementation date of April 2020. The reform will apply to large and medium sized businesses.</w:t>
      </w:r>
    </w:p>
    <w:p w:rsidR="007379C6" w:rsidRPr="00A85E8F" w:rsidRDefault="007379C6" w:rsidP="007379C6">
      <w:pPr>
        <w:rPr>
          <w:rFonts w:ascii="Arial" w:hAnsi="Arial" w:cs="Arial"/>
          <w:sz w:val="22"/>
          <w:szCs w:val="22"/>
        </w:rPr>
      </w:pPr>
    </w:p>
    <w:p w:rsidR="007379C6" w:rsidRPr="00A85E8F" w:rsidRDefault="007379C6" w:rsidP="007379C6">
      <w:pPr>
        <w:rPr>
          <w:rFonts w:ascii="Arial" w:hAnsi="Arial" w:cs="Arial"/>
          <w:b/>
          <w:sz w:val="22"/>
          <w:szCs w:val="22"/>
        </w:rPr>
      </w:pPr>
      <w:r w:rsidRPr="00A85E8F">
        <w:rPr>
          <w:rFonts w:ascii="Arial" w:hAnsi="Arial" w:cs="Arial"/>
          <w:b/>
          <w:sz w:val="22"/>
          <w:szCs w:val="22"/>
        </w:rPr>
        <w:t>ATED</w:t>
      </w:r>
    </w:p>
    <w:p w:rsidR="007379C6" w:rsidRPr="00A85E8F" w:rsidRDefault="007379C6" w:rsidP="007379C6">
      <w:pPr>
        <w:rPr>
          <w:rFonts w:ascii="Arial" w:hAnsi="Arial" w:cs="Arial"/>
          <w:sz w:val="22"/>
          <w:szCs w:val="22"/>
        </w:rPr>
      </w:pPr>
      <w:r w:rsidRPr="00A85E8F">
        <w:rPr>
          <w:rFonts w:ascii="Arial" w:hAnsi="Arial" w:cs="Arial"/>
          <w:sz w:val="22"/>
          <w:szCs w:val="22"/>
        </w:rPr>
        <w:t>From 1 April 2018 the charges for the annual tax on enveloped dwellings (ATED) will be increased by 3%. Returns for 2018/19 are to be filed electronically.</w:t>
      </w:r>
    </w:p>
    <w:p w:rsidR="007379C6" w:rsidRPr="00A85E8F" w:rsidRDefault="007379C6" w:rsidP="007379C6">
      <w:pPr>
        <w:rPr>
          <w:rFonts w:ascii="Arial" w:hAnsi="Arial" w:cs="Arial"/>
          <w:sz w:val="22"/>
          <w:szCs w:val="2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2"/>
        <w:gridCol w:w="1985"/>
        <w:gridCol w:w="1559"/>
      </w:tblGrid>
      <w:tr w:rsidR="007379C6" w:rsidRPr="00A85E8F" w:rsidTr="00266F07">
        <w:trPr>
          <w:trHeight w:val="255"/>
        </w:trPr>
        <w:tc>
          <w:tcPr>
            <w:tcW w:w="6252" w:type="dxa"/>
            <w:shd w:val="clear" w:color="auto" w:fill="D9D9D9"/>
            <w:noWrap/>
            <w:vAlign w:val="bottom"/>
          </w:tcPr>
          <w:p w:rsidR="007379C6" w:rsidRPr="00A85E8F" w:rsidRDefault="007379C6" w:rsidP="00266F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shd w:val="clear" w:color="auto" w:fill="D9D9D9"/>
            <w:noWrap/>
            <w:vAlign w:val="bottom"/>
          </w:tcPr>
          <w:p w:rsidR="007379C6" w:rsidRPr="00A85E8F" w:rsidRDefault="007379C6" w:rsidP="00266F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2019/20</w:t>
            </w:r>
          </w:p>
        </w:tc>
        <w:tc>
          <w:tcPr>
            <w:tcW w:w="1559" w:type="dxa"/>
            <w:shd w:val="clear" w:color="auto" w:fill="D9D9D9"/>
            <w:noWrap/>
            <w:vAlign w:val="bottom"/>
          </w:tcPr>
          <w:p w:rsidR="007379C6" w:rsidRPr="00A85E8F" w:rsidRDefault="007379C6" w:rsidP="00266F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2017/18</w:t>
            </w:r>
          </w:p>
        </w:tc>
      </w:tr>
      <w:tr w:rsidR="007379C6" w:rsidRPr="00A85E8F" w:rsidTr="00266F07">
        <w:trPr>
          <w:trHeight w:val="255"/>
        </w:trPr>
        <w:tc>
          <w:tcPr>
            <w:tcW w:w="6252" w:type="dxa"/>
            <w:noWrap/>
            <w:vAlign w:val="bottom"/>
          </w:tcPr>
          <w:p w:rsidR="007379C6" w:rsidRPr="00A85E8F" w:rsidRDefault="007379C6" w:rsidP="00266F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noWrap/>
            <w:vAlign w:val="bottom"/>
          </w:tcPr>
          <w:p w:rsidR="007379C6" w:rsidRPr="00A85E8F" w:rsidRDefault="007379C6" w:rsidP="00266F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559" w:type="dxa"/>
            <w:noWrap/>
            <w:vAlign w:val="bottom"/>
          </w:tcPr>
          <w:p w:rsidR="007379C6" w:rsidRPr="00A85E8F" w:rsidRDefault="007379C6" w:rsidP="00266F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£</w:t>
            </w:r>
          </w:p>
        </w:tc>
      </w:tr>
      <w:tr w:rsidR="007379C6" w:rsidRPr="00A85E8F" w:rsidTr="00266F07">
        <w:trPr>
          <w:trHeight w:val="255"/>
        </w:trPr>
        <w:tc>
          <w:tcPr>
            <w:tcW w:w="9796" w:type="dxa"/>
            <w:gridSpan w:val="3"/>
            <w:shd w:val="clear" w:color="auto" w:fill="D9D9D9"/>
            <w:noWrap/>
            <w:vAlign w:val="bottom"/>
          </w:tcPr>
          <w:p w:rsidR="007379C6" w:rsidRPr="00A85E8F" w:rsidRDefault="007379C6" w:rsidP="00266F07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Annual Tax on Enveloped Dwellings (ATED)</w:t>
            </w:r>
          </w:p>
        </w:tc>
      </w:tr>
      <w:tr w:rsidR="007379C6" w:rsidRPr="00A85E8F" w:rsidTr="00266F07">
        <w:trPr>
          <w:trHeight w:val="255"/>
        </w:trPr>
        <w:tc>
          <w:tcPr>
            <w:tcW w:w="6252" w:type="dxa"/>
            <w:noWrap/>
            <w:vAlign w:val="bottom"/>
          </w:tcPr>
          <w:p w:rsidR="007379C6" w:rsidRPr="00A85E8F" w:rsidRDefault="007379C6" w:rsidP="00266F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More than £0.5m but not more than £1m</w:t>
            </w:r>
          </w:p>
        </w:tc>
        <w:tc>
          <w:tcPr>
            <w:tcW w:w="1985" w:type="dxa"/>
            <w:noWrap/>
            <w:vAlign w:val="bottom"/>
          </w:tcPr>
          <w:p w:rsidR="007379C6" w:rsidRPr="00A85E8F" w:rsidRDefault="007379C6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3,500</w:t>
            </w:r>
          </w:p>
        </w:tc>
        <w:tc>
          <w:tcPr>
            <w:tcW w:w="1559" w:type="dxa"/>
            <w:noWrap/>
            <w:vAlign w:val="bottom"/>
          </w:tcPr>
          <w:p w:rsidR="007379C6" w:rsidRPr="00A85E8F" w:rsidRDefault="007379C6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3,600</w:t>
            </w:r>
          </w:p>
        </w:tc>
      </w:tr>
      <w:tr w:rsidR="007379C6" w:rsidRPr="00A85E8F" w:rsidTr="00266F07">
        <w:trPr>
          <w:trHeight w:val="255"/>
        </w:trPr>
        <w:tc>
          <w:tcPr>
            <w:tcW w:w="6252" w:type="dxa"/>
            <w:noWrap/>
            <w:vAlign w:val="bottom"/>
          </w:tcPr>
          <w:p w:rsidR="007379C6" w:rsidRPr="00A85E8F" w:rsidRDefault="007379C6" w:rsidP="00266F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More than £1m but not more than £2m</w:t>
            </w:r>
          </w:p>
        </w:tc>
        <w:tc>
          <w:tcPr>
            <w:tcW w:w="1985" w:type="dxa"/>
            <w:noWrap/>
            <w:vAlign w:val="bottom"/>
          </w:tcPr>
          <w:p w:rsidR="007379C6" w:rsidRPr="00A85E8F" w:rsidRDefault="007379C6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7,050</w:t>
            </w:r>
          </w:p>
        </w:tc>
        <w:tc>
          <w:tcPr>
            <w:tcW w:w="1559" w:type="dxa"/>
            <w:noWrap/>
            <w:vAlign w:val="bottom"/>
          </w:tcPr>
          <w:p w:rsidR="007379C6" w:rsidRPr="00A85E8F" w:rsidRDefault="007379C6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7,250</w:t>
            </w:r>
          </w:p>
        </w:tc>
      </w:tr>
      <w:tr w:rsidR="007379C6" w:rsidRPr="00A85E8F" w:rsidTr="00266F07">
        <w:trPr>
          <w:trHeight w:val="255"/>
        </w:trPr>
        <w:tc>
          <w:tcPr>
            <w:tcW w:w="6252" w:type="dxa"/>
            <w:noWrap/>
            <w:vAlign w:val="bottom"/>
          </w:tcPr>
          <w:p w:rsidR="007379C6" w:rsidRPr="00A85E8F" w:rsidRDefault="007379C6" w:rsidP="00266F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More than £2m but not more than £5m</w:t>
            </w:r>
          </w:p>
        </w:tc>
        <w:tc>
          <w:tcPr>
            <w:tcW w:w="1985" w:type="dxa"/>
            <w:noWrap/>
            <w:vAlign w:val="bottom"/>
          </w:tcPr>
          <w:p w:rsidR="007379C6" w:rsidRPr="00A85E8F" w:rsidRDefault="007379C6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23,550</w:t>
            </w:r>
          </w:p>
        </w:tc>
        <w:tc>
          <w:tcPr>
            <w:tcW w:w="1559" w:type="dxa"/>
            <w:noWrap/>
            <w:vAlign w:val="bottom"/>
          </w:tcPr>
          <w:p w:rsidR="007379C6" w:rsidRPr="00A85E8F" w:rsidRDefault="007379C6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24,250</w:t>
            </w:r>
          </w:p>
        </w:tc>
      </w:tr>
      <w:tr w:rsidR="007379C6" w:rsidRPr="00A85E8F" w:rsidTr="00266F07">
        <w:trPr>
          <w:trHeight w:val="255"/>
        </w:trPr>
        <w:tc>
          <w:tcPr>
            <w:tcW w:w="6252" w:type="dxa"/>
            <w:noWrap/>
            <w:vAlign w:val="bottom"/>
          </w:tcPr>
          <w:p w:rsidR="007379C6" w:rsidRPr="00A85E8F" w:rsidRDefault="007379C6" w:rsidP="00266F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More than £5m but not more than £10m</w:t>
            </w:r>
          </w:p>
        </w:tc>
        <w:tc>
          <w:tcPr>
            <w:tcW w:w="1985" w:type="dxa"/>
            <w:noWrap/>
            <w:vAlign w:val="bottom"/>
          </w:tcPr>
          <w:p w:rsidR="007379C6" w:rsidRPr="00A85E8F" w:rsidRDefault="007379C6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54,950</w:t>
            </w:r>
          </w:p>
        </w:tc>
        <w:tc>
          <w:tcPr>
            <w:tcW w:w="1559" w:type="dxa"/>
            <w:noWrap/>
            <w:vAlign w:val="bottom"/>
          </w:tcPr>
          <w:p w:rsidR="007379C6" w:rsidRPr="00A85E8F" w:rsidRDefault="007379C6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56,550</w:t>
            </w:r>
          </w:p>
        </w:tc>
      </w:tr>
      <w:tr w:rsidR="007379C6" w:rsidRPr="00A85E8F" w:rsidTr="00266F07">
        <w:trPr>
          <w:trHeight w:val="255"/>
        </w:trPr>
        <w:tc>
          <w:tcPr>
            <w:tcW w:w="6252" w:type="dxa"/>
            <w:noWrap/>
            <w:vAlign w:val="bottom"/>
          </w:tcPr>
          <w:p w:rsidR="007379C6" w:rsidRPr="00A85E8F" w:rsidRDefault="007379C6" w:rsidP="00266F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More than £10m but not more than £20m</w:t>
            </w:r>
          </w:p>
        </w:tc>
        <w:tc>
          <w:tcPr>
            <w:tcW w:w="1985" w:type="dxa"/>
            <w:noWrap/>
            <w:vAlign w:val="bottom"/>
          </w:tcPr>
          <w:p w:rsidR="007379C6" w:rsidRPr="00A85E8F" w:rsidRDefault="007379C6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110,100</w:t>
            </w:r>
          </w:p>
        </w:tc>
        <w:tc>
          <w:tcPr>
            <w:tcW w:w="1559" w:type="dxa"/>
            <w:noWrap/>
            <w:vAlign w:val="bottom"/>
          </w:tcPr>
          <w:p w:rsidR="007379C6" w:rsidRPr="00A85E8F" w:rsidRDefault="007379C6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113,400</w:t>
            </w:r>
          </w:p>
        </w:tc>
      </w:tr>
      <w:tr w:rsidR="007379C6" w:rsidRPr="00A85E8F" w:rsidTr="00266F07">
        <w:trPr>
          <w:trHeight w:val="255"/>
        </w:trPr>
        <w:tc>
          <w:tcPr>
            <w:tcW w:w="6252" w:type="dxa"/>
            <w:noWrap/>
            <w:vAlign w:val="bottom"/>
          </w:tcPr>
          <w:p w:rsidR="007379C6" w:rsidRPr="00A85E8F" w:rsidRDefault="007379C6" w:rsidP="00266F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85E8F">
              <w:rPr>
                <w:rFonts w:ascii="Arial" w:hAnsi="Arial" w:cs="Arial"/>
                <w:sz w:val="22"/>
                <w:szCs w:val="22"/>
                <w:lang w:eastAsia="en-GB"/>
              </w:rPr>
              <w:t>More than £20m</w:t>
            </w:r>
          </w:p>
        </w:tc>
        <w:tc>
          <w:tcPr>
            <w:tcW w:w="1985" w:type="dxa"/>
            <w:noWrap/>
            <w:vAlign w:val="bottom"/>
          </w:tcPr>
          <w:p w:rsidR="007379C6" w:rsidRPr="00A85E8F" w:rsidRDefault="007379C6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220,350</w:t>
            </w:r>
          </w:p>
        </w:tc>
        <w:tc>
          <w:tcPr>
            <w:tcW w:w="1559" w:type="dxa"/>
            <w:noWrap/>
            <w:vAlign w:val="bottom"/>
          </w:tcPr>
          <w:p w:rsidR="007379C6" w:rsidRPr="00A85E8F" w:rsidRDefault="007379C6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E8F">
              <w:rPr>
                <w:rFonts w:ascii="Arial" w:hAnsi="Arial" w:cs="Arial"/>
                <w:sz w:val="22"/>
                <w:szCs w:val="22"/>
              </w:rPr>
              <w:t>226,950</w:t>
            </w:r>
          </w:p>
        </w:tc>
      </w:tr>
    </w:tbl>
    <w:p w:rsidR="007379C6" w:rsidRPr="00A85E8F" w:rsidRDefault="007379C6" w:rsidP="007379C6">
      <w:pPr>
        <w:rPr>
          <w:rFonts w:ascii="Arial" w:hAnsi="Arial" w:cs="Arial"/>
          <w:b/>
          <w:sz w:val="22"/>
          <w:szCs w:val="22"/>
        </w:rPr>
      </w:pPr>
      <w:r w:rsidRPr="00A85E8F">
        <w:rPr>
          <w:rFonts w:ascii="Arial" w:hAnsi="Arial" w:cs="Arial"/>
          <w:color w:val="333333"/>
          <w:sz w:val="22"/>
          <w:szCs w:val="22"/>
          <w:lang w:eastAsia="en-GB"/>
        </w:rPr>
        <w:br/>
      </w:r>
      <w:r w:rsidRPr="00A85E8F">
        <w:rPr>
          <w:rFonts w:ascii="Arial" w:hAnsi="Arial" w:cs="Arial"/>
          <w:b/>
          <w:sz w:val="22"/>
          <w:szCs w:val="22"/>
        </w:rPr>
        <w:t>Employment allowance reform</w:t>
      </w:r>
    </w:p>
    <w:p w:rsidR="007379C6" w:rsidRPr="00A85E8F" w:rsidRDefault="007379C6" w:rsidP="007379C6">
      <w:pPr>
        <w:rPr>
          <w:rFonts w:ascii="Arial" w:hAnsi="Arial" w:cs="Arial"/>
          <w:b/>
          <w:sz w:val="22"/>
          <w:szCs w:val="22"/>
        </w:rPr>
      </w:pPr>
      <w:r w:rsidRPr="00A85E8F">
        <w:rPr>
          <w:rFonts w:ascii="Arial" w:hAnsi="Arial" w:cs="Arial"/>
          <w:sz w:val="22"/>
          <w:szCs w:val="22"/>
        </w:rPr>
        <w:t>From April 2020, this will be limited to employers with an employer NICs bill below £100,000 in the previous tax year</w:t>
      </w:r>
      <w:r w:rsidR="00BD6460">
        <w:rPr>
          <w:rFonts w:ascii="Arial" w:hAnsi="Arial" w:cs="Arial"/>
          <w:sz w:val="22"/>
          <w:szCs w:val="22"/>
        </w:rPr>
        <w:t>.</w:t>
      </w:r>
    </w:p>
    <w:p w:rsidR="007379C6" w:rsidRPr="00A85E8F" w:rsidRDefault="007379C6" w:rsidP="007379C6">
      <w:pPr>
        <w:rPr>
          <w:rFonts w:ascii="Arial" w:hAnsi="Arial" w:cs="Arial"/>
          <w:sz w:val="22"/>
          <w:szCs w:val="22"/>
        </w:rPr>
      </w:pPr>
    </w:p>
    <w:p w:rsidR="007379C6" w:rsidRPr="00A85E8F" w:rsidRDefault="007379C6" w:rsidP="007379C6">
      <w:pPr>
        <w:rPr>
          <w:rFonts w:ascii="Arial" w:hAnsi="Arial" w:cs="Arial"/>
          <w:b/>
          <w:sz w:val="22"/>
          <w:szCs w:val="22"/>
        </w:rPr>
      </w:pPr>
      <w:r w:rsidRPr="00A85E8F">
        <w:rPr>
          <w:rFonts w:ascii="Arial" w:hAnsi="Arial" w:cs="Arial"/>
          <w:b/>
          <w:sz w:val="22"/>
          <w:szCs w:val="22"/>
        </w:rPr>
        <w:t>Entrepreneurs’ Relief</w:t>
      </w:r>
    </w:p>
    <w:p w:rsidR="004E53C7" w:rsidRPr="00E20B7D" w:rsidRDefault="007379C6" w:rsidP="00BD6460">
      <w:pPr>
        <w:rPr>
          <w:rFonts w:ascii="Arial" w:hAnsi="Arial" w:cs="Arial"/>
          <w:color w:val="333333"/>
          <w:sz w:val="22"/>
          <w:szCs w:val="22"/>
          <w:lang w:eastAsia="en-GB"/>
        </w:rPr>
      </w:pPr>
      <w:r w:rsidRPr="00A85E8F">
        <w:rPr>
          <w:rFonts w:ascii="Arial" w:hAnsi="Arial" w:cs="Arial"/>
          <w:sz w:val="22"/>
          <w:szCs w:val="22"/>
          <w:lang w:val="en"/>
        </w:rPr>
        <w:t xml:space="preserve">Legislation will be introduced in Finance Bill 2018-19 for disposal made on or after 6 April 2019, to increases this minimum period throughout which certain conditions must be met to be eligible for Entrepreneurs Relief from one year to two years. </w:t>
      </w:r>
    </w:p>
    <w:p w:rsidR="00A05020" w:rsidRPr="00E20B7D" w:rsidRDefault="00A05020" w:rsidP="00FA576A">
      <w:pPr>
        <w:rPr>
          <w:rFonts w:ascii="Arial" w:hAnsi="Arial" w:cs="Arial"/>
          <w:sz w:val="22"/>
          <w:szCs w:val="22"/>
        </w:rPr>
      </w:pPr>
    </w:p>
    <w:p w:rsidR="00DA1DD0" w:rsidRPr="00E20B7D" w:rsidRDefault="00DA1DD0" w:rsidP="00FA576A">
      <w:pPr>
        <w:rPr>
          <w:rFonts w:ascii="Arial" w:hAnsi="Arial" w:cs="Arial"/>
          <w:b/>
          <w:sz w:val="22"/>
          <w:szCs w:val="22"/>
        </w:rPr>
      </w:pPr>
      <w:r w:rsidRPr="00E20B7D">
        <w:rPr>
          <w:rFonts w:ascii="Arial" w:hAnsi="Arial" w:cs="Arial"/>
          <w:b/>
          <w:sz w:val="22"/>
          <w:szCs w:val="22"/>
        </w:rPr>
        <w:t>ACCA LEGAL NOTICE</w:t>
      </w:r>
    </w:p>
    <w:p w:rsidR="00DA1DD0" w:rsidRPr="00E20B7D" w:rsidRDefault="00DA1DD0" w:rsidP="00FA576A">
      <w:pPr>
        <w:rPr>
          <w:rFonts w:ascii="Arial" w:hAnsi="Arial" w:cs="Arial"/>
          <w:b/>
          <w:sz w:val="22"/>
          <w:szCs w:val="22"/>
        </w:rPr>
      </w:pPr>
      <w:r w:rsidRPr="00E20B7D">
        <w:rPr>
          <w:rFonts w:ascii="Arial" w:hAnsi="Arial" w:cs="Arial"/>
          <w:b/>
          <w:sz w:val="22"/>
          <w:szCs w:val="22"/>
        </w:rPr>
        <w:t xml:space="preserve">This is a basic guide prepared by the </w:t>
      </w:r>
      <w:r w:rsidRPr="00E20B7D">
        <w:rPr>
          <w:rStyle w:val="Emphasis"/>
          <w:rFonts w:ascii="Arial" w:hAnsi="Arial" w:cs="Arial"/>
          <w:b/>
          <w:iCs/>
          <w:sz w:val="22"/>
          <w:szCs w:val="22"/>
        </w:rPr>
        <w:t>ACCA UK</w:t>
      </w:r>
      <w:r w:rsidRPr="00E20B7D">
        <w:rPr>
          <w:rFonts w:ascii="Arial" w:hAnsi="Arial" w:cs="Arial"/>
          <w:b/>
          <w:sz w:val="22"/>
          <w:szCs w:val="22"/>
        </w:rPr>
        <w:t>'s Technical Advisory Service for members and their clients. It should not be used as a definitive guide, since individual circumstances may vary. Specific advice should be obtained, where necessary.</w:t>
      </w:r>
    </w:p>
    <w:sectPr w:rsidR="00DA1DD0" w:rsidRPr="00E20B7D" w:rsidSect="007429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113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63" w:rsidRDefault="000D4463">
      <w:r>
        <w:separator/>
      </w:r>
    </w:p>
  </w:endnote>
  <w:endnote w:type="continuationSeparator" w:id="0">
    <w:p w:rsidR="000D4463" w:rsidRDefault="000D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Corbe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672" w:rsidRDefault="000C3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50" w:rsidRDefault="00582450">
    <w:pPr>
      <w:pStyle w:val="Footer"/>
      <w:jc w:val="center"/>
      <w:rPr>
        <w:rFonts w:ascii="NewsGoth BT" w:hAnsi="NewsGoth BT"/>
        <w:sz w:val="20"/>
        <w:szCs w:val="20"/>
      </w:rPr>
    </w:pPr>
  </w:p>
  <w:p w:rsidR="00582450" w:rsidRPr="00060939" w:rsidRDefault="00582450">
    <w:pPr>
      <w:pStyle w:val="Footer"/>
      <w:jc w:val="center"/>
      <w:rPr>
        <w:rFonts w:ascii="NewsGoth BT" w:hAnsi="NewsGoth BT"/>
        <w:sz w:val="20"/>
        <w:szCs w:val="20"/>
      </w:rPr>
    </w:pPr>
    <w:r w:rsidRPr="00060939">
      <w:rPr>
        <w:rFonts w:ascii="NewsGoth BT" w:hAnsi="NewsGoth BT"/>
        <w:sz w:val="20"/>
        <w:szCs w:val="20"/>
      </w:rPr>
      <w:fldChar w:fldCharType="begin"/>
    </w:r>
    <w:r w:rsidRPr="00060939">
      <w:rPr>
        <w:rFonts w:ascii="NewsGoth BT" w:hAnsi="NewsGoth BT"/>
        <w:sz w:val="20"/>
        <w:szCs w:val="20"/>
      </w:rPr>
      <w:instrText xml:space="preserve"> PAGE   \* MERGEFORMAT </w:instrText>
    </w:r>
    <w:r w:rsidRPr="00060939">
      <w:rPr>
        <w:rFonts w:ascii="NewsGoth BT" w:hAnsi="NewsGoth BT"/>
        <w:sz w:val="20"/>
        <w:szCs w:val="20"/>
      </w:rPr>
      <w:fldChar w:fldCharType="separate"/>
    </w:r>
    <w:r w:rsidR="000C3672">
      <w:rPr>
        <w:rFonts w:ascii="NewsGoth BT" w:hAnsi="NewsGoth BT"/>
        <w:noProof/>
        <w:sz w:val="20"/>
        <w:szCs w:val="20"/>
      </w:rPr>
      <w:t>3</w:t>
    </w:r>
    <w:r w:rsidRPr="00060939">
      <w:rPr>
        <w:rFonts w:ascii="NewsGoth BT" w:hAnsi="NewsGoth BT"/>
        <w:sz w:val="20"/>
        <w:szCs w:val="20"/>
      </w:rPr>
      <w:fldChar w:fldCharType="end"/>
    </w:r>
  </w:p>
  <w:p w:rsidR="00582450" w:rsidRPr="009118B9" w:rsidRDefault="00582450" w:rsidP="009118B9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50" w:rsidRDefault="00582450">
    <w:pPr>
      <w:pStyle w:val="Footer"/>
      <w:jc w:val="center"/>
    </w:pPr>
  </w:p>
  <w:p w:rsidR="00582450" w:rsidRPr="00060939" w:rsidRDefault="00582450" w:rsidP="00060939">
    <w:pPr>
      <w:pStyle w:val="Footer"/>
      <w:jc w:val="center"/>
      <w:rPr>
        <w:rFonts w:ascii="NewsGoth BT" w:hAnsi="NewsGoth BT"/>
        <w:sz w:val="20"/>
        <w:szCs w:val="20"/>
      </w:rPr>
    </w:pPr>
    <w:r w:rsidRPr="00060939">
      <w:rPr>
        <w:rFonts w:ascii="NewsGoth BT" w:hAnsi="NewsGoth BT"/>
        <w:sz w:val="20"/>
        <w:szCs w:val="20"/>
      </w:rPr>
      <w:fldChar w:fldCharType="begin"/>
    </w:r>
    <w:r w:rsidRPr="00060939">
      <w:rPr>
        <w:rFonts w:ascii="NewsGoth BT" w:hAnsi="NewsGoth BT"/>
        <w:sz w:val="20"/>
        <w:szCs w:val="20"/>
      </w:rPr>
      <w:instrText xml:space="preserve"> PAGE   \* MERGEFORMAT </w:instrText>
    </w:r>
    <w:r w:rsidRPr="00060939">
      <w:rPr>
        <w:rFonts w:ascii="NewsGoth BT" w:hAnsi="NewsGoth BT"/>
        <w:sz w:val="20"/>
        <w:szCs w:val="20"/>
      </w:rPr>
      <w:fldChar w:fldCharType="separate"/>
    </w:r>
    <w:r w:rsidR="000C3672">
      <w:rPr>
        <w:rFonts w:ascii="NewsGoth BT" w:hAnsi="NewsGoth BT"/>
        <w:noProof/>
        <w:sz w:val="20"/>
        <w:szCs w:val="20"/>
      </w:rPr>
      <w:t>1</w:t>
    </w:r>
    <w:r w:rsidRPr="00060939">
      <w:rPr>
        <w:rFonts w:ascii="NewsGoth BT" w:hAnsi="NewsGoth BT"/>
        <w:sz w:val="20"/>
        <w:szCs w:val="20"/>
      </w:rPr>
      <w:fldChar w:fldCharType="end"/>
    </w:r>
  </w:p>
  <w:p w:rsidR="00582450" w:rsidRDefault="00582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63" w:rsidRDefault="000D4463">
      <w:r>
        <w:separator/>
      </w:r>
    </w:p>
  </w:footnote>
  <w:footnote w:type="continuationSeparator" w:id="0">
    <w:p w:rsidR="000D4463" w:rsidRDefault="000D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672" w:rsidRDefault="000C3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50" w:rsidRDefault="00582450" w:rsidP="001B6823">
    <w:pPr>
      <w:pStyle w:val="Header"/>
      <w:tabs>
        <w:tab w:val="clear" w:pos="4153"/>
        <w:tab w:val="clear" w:pos="8306"/>
        <w:tab w:val="left" w:pos="56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50" w:rsidRPr="00955165" w:rsidRDefault="00582450" w:rsidP="001B6823">
    <w:pPr>
      <w:pStyle w:val="Header"/>
      <w:rPr>
        <w:rFonts w:ascii="Arial" w:hAnsi="Arial" w:cs="Arial"/>
        <w:noProof/>
        <w:color w:val="000000"/>
        <w:sz w:val="20"/>
        <w:szCs w:val="20"/>
        <w:lang w:eastAsia="en-GB"/>
      </w:rPr>
    </w:pPr>
    <w:bookmarkStart w:id="0" w:name="_GoBack"/>
    <w:bookmarkEnd w:id="0"/>
  </w:p>
  <w:p w:rsidR="00582450" w:rsidRDefault="00582450" w:rsidP="00060939">
    <w:pPr>
      <w:pStyle w:val="Header"/>
      <w:shd w:val="clear" w:color="auto" w:fill="D9D9D9"/>
      <w:tabs>
        <w:tab w:val="clear" w:pos="8306"/>
        <w:tab w:val="left" w:pos="567"/>
        <w:tab w:val="left" w:pos="1320"/>
        <w:tab w:val="left" w:pos="4153"/>
      </w:tabs>
      <w:ind w:firstLine="567"/>
      <w:rPr>
        <w:rFonts w:ascii="Arial" w:hAnsi="Arial" w:cs="Arial"/>
        <w:noProof/>
        <w:color w:val="000000"/>
        <w:sz w:val="28"/>
        <w:szCs w:val="28"/>
        <w:lang w:eastAsia="en-GB"/>
      </w:rPr>
    </w:pPr>
    <w:r>
      <w:rPr>
        <w:rFonts w:ascii="Arial" w:hAnsi="Arial" w:cs="Arial"/>
        <w:noProof/>
        <w:color w:val="000000"/>
        <w:sz w:val="28"/>
        <w:szCs w:val="28"/>
        <w:lang w:eastAsia="en-GB"/>
      </w:rPr>
      <w:tab/>
    </w:r>
    <w:r>
      <w:rPr>
        <w:rFonts w:ascii="Arial" w:hAnsi="Arial" w:cs="Arial"/>
        <w:noProof/>
        <w:color w:val="000000"/>
        <w:sz w:val="28"/>
        <w:szCs w:val="28"/>
        <w:lang w:eastAsia="en-GB"/>
      </w:rPr>
      <w:tab/>
    </w:r>
  </w:p>
  <w:p w:rsidR="00582450" w:rsidRPr="000C3672" w:rsidRDefault="00582450" w:rsidP="008A7D29">
    <w:pPr>
      <w:pStyle w:val="Header"/>
      <w:shd w:val="clear" w:color="auto" w:fill="D9D9D9"/>
      <w:tabs>
        <w:tab w:val="clear" w:pos="4153"/>
        <w:tab w:val="clear" w:pos="8306"/>
        <w:tab w:val="left" w:pos="284"/>
      </w:tabs>
      <w:rPr>
        <w:rFonts w:asciiTheme="minorHAnsi" w:hAnsiTheme="minorHAnsi" w:cstheme="minorHAnsi"/>
        <w:b/>
        <w:bCs/>
        <w:i/>
        <w:sz w:val="44"/>
        <w:szCs w:val="44"/>
      </w:rPr>
    </w:pPr>
    <w:r w:rsidRPr="000C3672">
      <w:rPr>
        <w:rFonts w:asciiTheme="minorHAnsi" w:hAnsiTheme="minorHAnsi" w:cstheme="minorHAnsi"/>
        <w:b/>
        <w:bCs/>
        <w:i/>
        <w:sz w:val="44"/>
        <w:szCs w:val="44"/>
      </w:rPr>
      <w:tab/>
    </w:r>
    <w:r w:rsidR="000C3672" w:rsidRPr="000C3672">
      <w:rPr>
        <w:rFonts w:asciiTheme="minorHAnsi" w:hAnsiTheme="minorHAnsi" w:cstheme="minorHAnsi"/>
        <w:b/>
        <w:bCs/>
        <w:i/>
        <w:sz w:val="44"/>
        <w:szCs w:val="44"/>
      </w:rPr>
      <w:t>J Pratt &amp; Co Ltd</w:t>
    </w:r>
  </w:p>
  <w:p w:rsidR="00582450" w:rsidRPr="001A3DC3" w:rsidRDefault="00582450" w:rsidP="008A7D29">
    <w:pPr>
      <w:pStyle w:val="Header"/>
      <w:shd w:val="clear" w:color="auto" w:fill="D9D9D9"/>
      <w:tabs>
        <w:tab w:val="clear" w:pos="4153"/>
        <w:tab w:val="clear" w:pos="8306"/>
        <w:tab w:val="left" w:pos="915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  <w:p w:rsidR="00582450" w:rsidRDefault="00582450" w:rsidP="000C3672">
    <w:pPr>
      <w:pStyle w:val="Header"/>
      <w:shd w:val="clear" w:color="auto" w:fill="D9D9D9"/>
      <w:tabs>
        <w:tab w:val="clear" w:pos="4153"/>
        <w:tab w:val="clear" w:pos="8306"/>
        <w:tab w:val="left" w:pos="28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Cs/>
        <w:sz w:val="20"/>
        <w:szCs w:val="20"/>
      </w:rPr>
      <w:tab/>
    </w:r>
  </w:p>
  <w:p w:rsidR="00582450" w:rsidRPr="001A3DC3" w:rsidRDefault="00582450" w:rsidP="001B6823">
    <w:pPr>
      <w:pStyle w:val="Header"/>
      <w:jc w:val="both"/>
      <w:rPr>
        <w:rFonts w:ascii="Arial" w:hAnsi="Arial" w:cs="Arial"/>
        <w:b/>
        <w:bCs/>
        <w:color w:val="808080"/>
        <w:sz w:val="18"/>
        <w:szCs w:val="18"/>
      </w:rPr>
    </w:pPr>
  </w:p>
  <w:p w:rsidR="00582450" w:rsidRPr="00A810D9" w:rsidRDefault="00582450" w:rsidP="001B6823">
    <w:pPr>
      <w:pStyle w:val="Header"/>
      <w:rPr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A7A"/>
    <w:multiLevelType w:val="hybridMultilevel"/>
    <w:tmpl w:val="AC98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70D0"/>
    <w:multiLevelType w:val="hybridMultilevel"/>
    <w:tmpl w:val="52BE9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D9F"/>
    <w:multiLevelType w:val="multilevel"/>
    <w:tmpl w:val="3972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120B94"/>
    <w:multiLevelType w:val="hybridMultilevel"/>
    <w:tmpl w:val="4406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638DA"/>
    <w:multiLevelType w:val="hybridMultilevel"/>
    <w:tmpl w:val="60A0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770AA"/>
    <w:multiLevelType w:val="hybridMultilevel"/>
    <w:tmpl w:val="D7D8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06E"/>
    <w:multiLevelType w:val="hybridMultilevel"/>
    <w:tmpl w:val="6FD6C40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B5001E7"/>
    <w:multiLevelType w:val="hybridMultilevel"/>
    <w:tmpl w:val="72AE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C5743"/>
    <w:multiLevelType w:val="hybridMultilevel"/>
    <w:tmpl w:val="C5747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068D7"/>
    <w:multiLevelType w:val="hybridMultilevel"/>
    <w:tmpl w:val="7E96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705A6"/>
    <w:multiLevelType w:val="hybridMultilevel"/>
    <w:tmpl w:val="418C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472DB"/>
    <w:multiLevelType w:val="hybridMultilevel"/>
    <w:tmpl w:val="F448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26877"/>
    <w:multiLevelType w:val="hybridMultilevel"/>
    <w:tmpl w:val="B3369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8489D"/>
    <w:multiLevelType w:val="hybridMultilevel"/>
    <w:tmpl w:val="13D0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36CD2"/>
    <w:multiLevelType w:val="hybridMultilevel"/>
    <w:tmpl w:val="0CEE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40087"/>
    <w:multiLevelType w:val="hybridMultilevel"/>
    <w:tmpl w:val="054EBF5C"/>
    <w:lvl w:ilvl="0" w:tplc="5310FA3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E7AAB"/>
    <w:multiLevelType w:val="hybridMultilevel"/>
    <w:tmpl w:val="ADD6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46C6F"/>
    <w:multiLevelType w:val="hybridMultilevel"/>
    <w:tmpl w:val="7DC46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23996"/>
    <w:multiLevelType w:val="hybridMultilevel"/>
    <w:tmpl w:val="E72E7F36"/>
    <w:lvl w:ilvl="0" w:tplc="08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9" w15:restartNumberingAfterBreak="0">
    <w:nsid w:val="593D382B"/>
    <w:multiLevelType w:val="hybridMultilevel"/>
    <w:tmpl w:val="F956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01277"/>
    <w:multiLevelType w:val="multilevel"/>
    <w:tmpl w:val="00B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A26F80"/>
    <w:multiLevelType w:val="multilevel"/>
    <w:tmpl w:val="7C5C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791E18"/>
    <w:multiLevelType w:val="multilevel"/>
    <w:tmpl w:val="8A64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003004"/>
    <w:multiLevelType w:val="hybridMultilevel"/>
    <w:tmpl w:val="863C1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66BD1"/>
    <w:multiLevelType w:val="multilevel"/>
    <w:tmpl w:val="1C4E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18"/>
  </w:num>
  <w:num w:numId="5">
    <w:abstractNumId w:val="24"/>
  </w:num>
  <w:num w:numId="6">
    <w:abstractNumId w:val="19"/>
  </w:num>
  <w:num w:numId="7">
    <w:abstractNumId w:val="14"/>
  </w:num>
  <w:num w:numId="8">
    <w:abstractNumId w:val="7"/>
  </w:num>
  <w:num w:numId="9">
    <w:abstractNumId w:val="11"/>
  </w:num>
  <w:num w:numId="10">
    <w:abstractNumId w:val="16"/>
  </w:num>
  <w:num w:numId="11">
    <w:abstractNumId w:val="13"/>
  </w:num>
  <w:num w:numId="12">
    <w:abstractNumId w:val="15"/>
  </w:num>
  <w:num w:numId="13">
    <w:abstractNumId w:val="12"/>
  </w:num>
  <w:num w:numId="14">
    <w:abstractNumId w:val="8"/>
  </w:num>
  <w:num w:numId="15">
    <w:abstractNumId w:val="6"/>
  </w:num>
  <w:num w:numId="16">
    <w:abstractNumId w:val="4"/>
  </w:num>
  <w:num w:numId="17">
    <w:abstractNumId w:val="4"/>
  </w:num>
  <w:num w:numId="18">
    <w:abstractNumId w:val="9"/>
  </w:num>
  <w:num w:numId="19">
    <w:abstractNumId w:val="5"/>
  </w:num>
  <w:num w:numId="20">
    <w:abstractNumId w:val="23"/>
  </w:num>
  <w:num w:numId="21">
    <w:abstractNumId w:val="0"/>
  </w:num>
  <w:num w:numId="22">
    <w:abstractNumId w:val="1"/>
  </w:num>
  <w:num w:numId="23">
    <w:abstractNumId w:val="2"/>
  </w:num>
  <w:num w:numId="24">
    <w:abstractNumId w:val="22"/>
  </w:num>
  <w:num w:numId="25">
    <w:abstractNumId w:val="21"/>
  </w:num>
  <w:num w:numId="2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92"/>
    <w:rsid w:val="00007AE1"/>
    <w:rsid w:val="00007EA1"/>
    <w:rsid w:val="00010DA1"/>
    <w:rsid w:val="00023486"/>
    <w:rsid w:val="00024F49"/>
    <w:rsid w:val="00025A47"/>
    <w:rsid w:val="00031A0E"/>
    <w:rsid w:val="00037CC1"/>
    <w:rsid w:val="000459A6"/>
    <w:rsid w:val="0005013F"/>
    <w:rsid w:val="00057961"/>
    <w:rsid w:val="00060939"/>
    <w:rsid w:val="000702EB"/>
    <w:rsid w:val="00085CB0"/>
    <w:rsid w:val="000867B6"/>
    <w:rsid w:val="00095B10"/>
    <w:rsid w:val="000A2BEE"/>
    <w:rsid w:val="000A3CD2"/>
    <w:rsid w:val="000B4ED9"/>
    <w:rsid w:val="000C3672"/>
    <w:rsid w:val="000C7686"/>
    <w:rsid w:val="000D4463"/>
    <w:rsid w:val="000D47E9"/>
    <w:rsid w:val="0012348F"/>
    <w:rsid w:val="0014437D"/>
    <w:rsid w:val="00154558"/>
    <w:rsid w:val="00162060"/>
    <w:rsid w:val="00162223"/>
    <w:rsid w:val="0016225D"/>
    <w:rsid w:val="00174D61"/>
    <w:rsid w:val="001874FC"/>
    <w:rsid w:val="00195EDC"/>
    <w:rsid w:val="001A0EEB"/>
    <w:rsid w:val="001A1CA6"/>
    <w:rsid w:val="001A3DC3"/>
    <w:rsid w:val="001B61BC"/>
    <w:rsid w:val="001B6823"/>
    <w:rsid w:val="001C2414"/>
    <w:rsid w:val="001C6D3B"/>
    <w:rsid w:val="001D31AA"/>
    <w:rsid w:val="001D7F21"/>
    <w:rsid w:val="001F2E2E"/>
    <w:rsid w:val="002014B1"/>
    <w:rsid w:val="00216A34"/>
    <w:rsid w:val="002418B2"/>
    <w:rsid w:val="002555B6"/>
    <w:rsid w:val="00261DE8"/>
    <w:rsid w:val="00270F7F"/>
    <w:rsid w:val="00291383"/>
    <w:rsid w:val="002A13BE"/>
    <w:rsid w:val="002B7CD6"/>
    <w:rsid w:val="002D1E66"/>
    <w:rsid w:val="002D7E5A"/>
    <w:rsid w:val="002E1B55"/>
    <w:rsid w:val="002E4EAF"/>
    <w:rsid w:val="002F2E6B"/>
    <w:rsid w:val="003232C5"/>
    <w:rsid w:val="00323A7B"/>
    <w:rsid w:val="0032427B"/>
    <w:rsid w:val="00326F7D"/>
    <w:rsid w:val="00334F7F"/>
    <w:rsid w:val="00336CF3"/>
    <w:rsid w:val="00346DBE"/>
    <w:rsid w:val="003509D0"/>
    <w:rsid w:val="00377F50"/>
    <w:rsid w:val="00381251"/>
    <w:rsid w:val="003A32DB"/>
    <w:rsid w:val="003C5A3A"/>
    <w:rsid w:val="003D0D2E"/>
    <w:rsid w:val="003D4DB0"/>
    <w:rsid w:val="003E12E4"/>
    <w:rsid w:val="004243F1"/>
    <w:rsid w:val="00434DC2"/>
    <w:rsid w:val="004600FC"/>
    <w:rsid w:val="00476751"/>
    <w:rsid w:val="00476A38"/>
    <w:rsid w:val="004834A7"/>
    <w:rsid w:val="00494C81"/>
    <w:rsid w:val="00497BC2"/>
    <w:rsid w:val="004A44EC"/>
    <w:rsid w:val="004C708A"/>
    <w:rsid w:val="004E53C7"/>
    <w:rsid w:val="004F578A"/>
    <w:rsid w:val="00516623"/>
    <w:rsid w:val="00522359"/>
    <w:rsid w:val="005344A1"/>
    <w:rsid w:val="00547480"/>
    <w:rsid w:val="005537FD"/>
    <w:rsid w:val="00553C37"/>
    <w:rsid w:val="00562C10"/>
    <w:rsid w:val="00563B78"/>
    <w:rsid w:val="005672C4"/>
    <w:rsid w:val="00580C4F"/>
    <w:rsid w:val="00582450"/>
    <w:rsid w:val="00583DB3"/>
    <w:rsid w:val="00585FD5"/>
    <w:rsid w:val="005D335B"/>
    <w:rsid w:val="006019BC"/>
    <w:rsid w:val="00602074"/>
    <w:rsid w:val="00604FE2"/>
    <w:rsid w:val="00610B24"/>
    <w:rsid w:val="0061195A"/>
    <w:rsid w:val="00632128"/>
    <w:rsid w:val="00643FFE"/>
    <w:rsid w:val="006501DA"/>
    <w:rsid w:val="0065043F"/>
    <w:rsid w:val="00652287"/>
    <w:rsid w:val="00653D8C"/>
    <w:rsid w:val="00656202"/>
    <w:rsid w:val="0065704D"/>
    <w:rsid w:val="0067284A"/>
    <w:rsid w:val="00677712"/>
    <w:rsid w:val="0068273D"/>
    <w:rsid w:val="00686BEC"/>
    <w:rsid w:val="00694815"/>
    <w:rsid w:val="00696392"/>
    <w:rsid w:val="006B36E0"/>
    <w:rsid w:val="006B57D6"/>
    <w:rsid w:val="006D4580"/>
    <w:rsid w:val="006E11F4"/>
    <w:rsid w:val="006E16AF"/>
    <w:rsid w:val="006E3CAE"/>
    <w:rsid w:val="006F7583"/>
    <w:rsid w:val="007379C6"/>
    <w:rsid w:val="00742988"/>
    <w:rsid w:val="007462B2"/>
    <w:rsid w:val="00762FC2"/>
    <w:rsid w:val="00770E2D"/>
    <w:rsid w:val="00784CB7"/>
    <w:rsid w:val="007855DE"/>
    <w:rsid w:val="00786044"/>
    <w:rsid w:val="00796B1F"/>
    <w:rsid w:val="007B4F3C"/>
    <w:rsid w:val="007B529A"/>
    <w:rsid w:val="007B5D94"/>
    <w:rsid w:val="007C1685"/>
    <w:rsid w:val="007C58A6"/>
    <w:rsid w:val="007C632E"/>
    <w:rsid w:val="007D2ACC"/>
    <w:rsid w:val="007F014E"/>
    <w:rsid w:val="00814E67"/>
    <w:rsid w:val="00820E99"/>
    <w:rsid w:val="0083290C"/>
    <w:rsid w:val="00845527"/>
    <w:rsid w:val="00845C59"/>
    <w:rsid w:val="008902BC"/>
    <w:rsid w:val="00892B85"/>
    <w:rsid w:val="008A7D29"/>
    <w:rsid w:val="008B36A4"/>
    <w:rsid w:val="008C1219"/>
    <w:rsid w:val="008D1CAC"/>
    <w:rsid w:val="008E7D6C"/>
    <w:rsid w:val="008F537A"/>
    <w:rsid w:val="00905D49"/>
    <w:rsid w:val="009118B9"/>
    <w:rsid w:val="009201E5"/>
    <w:rsid w:val="00921FDF"/>
    <w:rsid w:val="00927AF9"/>
    <w:rsid w:val="00932D05"/>
    <w:rsid w:val="009408D2"/>
    <w:rsid w:val="009502AE"/>
    <w:rsid w:val="00955165"/>
    <w:rsid w:val="0097688B"/>
    <w:rsid w:val="00993C4A"/>
    <w:rsid w:val="00997068"/>
    <w:rsid w:val="009A7B4C"/>
    <w:rsid w:val="009B55A9"/>
    <w:rsid w:val="009E2283"/>
    <w:rsid w:val="009F2ABF"/>
    <w:rsid w:val="00A03AD6"/>
    <w:rsid w:val="00A05020"/>
    <w:rsid w:val="00A4433F"/>
    <w:rsid w:val="00A5302B"/>
    <w:rsid w:val="00A62B62"/>
    <w:rsid w:val="00A810D9"/>
    <w:rsid w:val="00A81A37"/>
    <w:rsid w:val="00A83714"/>
    <w:rsid w:val="00A85E8F"/>
    <w:rsid w:val="00A860B3"/>
    <w:rsid w:val="00A96611"/>
    <w:rsid w:val="00AD240F"/>
    <w:rsid w:val="00AD56F3"/>
    <w:rsid w:val="00AF44C6"/>
    <w:rsid w:val="00B00C40"/>
    <w:rsid w:val="00B03D0F"/>
    <w:rsid w:val="00B15BEC"/>
    <w:rsid w:val="00B1605D"/>
    <w:rsid w:val="00B16876"/>
    <w:rsid w:val="00B20A06"/>
    <w:rsid w:val="00B210BB"/>
    <w:rsid w:val="00B25EEF"/>
    <w:rsid w:val="00B327D7"/>
    <w:rsid w:val="00B359B2"/>
    <w:rsid w:val="00B375B7"/>
    <w:rsid w:val="00B4229D"/>
    <w:rsid w:val="00B4348F"/>
    <w:rsid w:val="00B524BB"/>
    <w:rsid w:val="00B52CFA"/>
    <w:rsid w:val="00B75AF4"/>
    <w:rsid w:val="00B814EC"/>
    <w:rsid w:val="00B81DE1"/>
    <w:rsid w:val="00B9036C"/>
    <w:rsid w:val="00BA21B4"/>
    <w:rsid w:val="00BB30C4"/>
    <w:rsid w:val="00BB3126"/>
    <w:rsid w:val="00BC1501"/>
    <w:rsid w:val="00BD6460"/>
    <w:rsid w:val="00C21C3B"/>
    <w:rsid w:val="00C30DCA"/>
    <w:rsid w:val="00C32192"/>
    <w:rsid w:val="00C35B05"/>
    <w:rsid w:val="00C9412D"/>
    <w:rsid w:val="00C95F23"/>
    <w:rsid w:val="00C97DD9"/>
    <w:rsid w:val="00CA37C7"/>
    <w:rsid w:val="00CA4EE5"/>
    <w:rsid w:val="00CC5FD5"/>
    <w:rsid w:val="00CC6F6C"/>
    <w:rsid w:val="00CD6444"/>
    <w:rsid w:val="00CE14E4"/>
    <w:rsid w:val="00CE1BCE"/>
    <w:rsid w:val="00CE617F"/>
    <w:rsid w:val="00D72BD4"/>
    <w:rsid w:val="00D84F5B"/>
    <w:rsid w:val="00DA1DD0"/>
    <w:rsid w:val="00DA1EB0"/>
    <w:rsid w:val="00DE0295"/>
    <w:rsid w:val="00DE1FA1"/>
    <w:rsid w:val="00DF3215"/>
    <w:rsid w:val="00DF4CF2"/>
    <w:rsid w:val="00E06FAB"/>
    <w:rsid w:val="00E0779E"/>
    <w:rsid w:val="00E145F5"/>
    <w:rsid w:val="00E14CF5"/>
    <w:rsid w:val="00E14DBF"/>
    <w:rsid w:val="00E20B7D"/>
    <w:rsid w:val="00E227A9"/>
    <w:rsid w:val="00E262CF"/>
    <w:rsid w:val="00E444F6"/>
    <w:rsid w:val="00E46A45"/>
    <w:rsid w:val="00E62049"/>
    <w:rsid w:val="00E67FBB"/>
    <w:rsid w:val="00E81588"/>
    <w:rsid w:val="00ED3FDC"/>
    <w:rsid w:val="00EE3FFD"/>
    <w:rsid w:val="00F05DB2"/>
    <w:rsid w:val="00F26D59"/>
    <w:rsid w:val="00F31BDE"/>
    <w:rsid w:val="00F4279A"/>
    <w:rsid w:val="00F92823"/>
    <w:rsid w:val="00FA50E0"/>
    <w:rsid w:val="00FA576A"/>
    <w:rsid w:val="00FC077F"/>
    <w:rsid w:val="00FC084B"/>
    <w:rsid w:val="00FC1EAC"/>
    <w:rsid w:val="00FC5354"/>
    <w:rsid w:val="00FD48E5"/>
    <w:rsid w:val="00F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C25A6"/>
  <w15:docId w15:val="{2E5CE5A6-07EF-4E6C-9185-298195F6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3FD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3F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A0B0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semiHidden/>
    <w:rsid w:val="00EA0B0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52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0B07"/>
    <w:rPr>
      <w:sz w:val="0"/>
      <w:szCs w:val="0"/>
      <w:lang w:eastAsia="en-US"/>
    </w:rPr>
  </w:style>
  <w:style w:type="character" w:styleId="Hyperlink">
    <w:name w:val="Hyperlink"/>
    <w:uiPriority w:val="99"/>
    <w:rsid w:val="000A3CD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162223"/>
    <w:rPr>
      <w:rFonts w:cs="Times New Roman"/>
      <w:color w:val="606420"/>
      <w:u w:val="single"/>
    </w:rPr>
  </w:style>
  <w:style w:type="paragraph" w:styleId="NormalWeb">
    <w:name w:val="Normal (Web)"/>
    <w:basedOn w:val="Normal"/>
    <w:uiPriority w:val="99"/>
    <w:rsid w:val="00162223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rsid w:val="00CE1BC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810D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CE1BC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60939"/>
    <w:rPr>
      <w:sz w:val="24"/>
      <w:lang w:eastAsia="en-US"/>
    </w:rPr>
  </w:style>
  <w:style w:type="character" w:styleId="Emphasis">
    <w:name w:val="Emphasis"/>
    <w:uiPriority w:val="99"/>
    <w:qFormat/>
    <w:rsid w:val="00B1687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FC0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uiPriority w:val="99"/>
    <w:qFormat/>
    <w:locked/>
    <w:rsid w:val="00FC084B"/>
    <w:rPr>
      <w:rFonts w:cs="Times New Roman"/>
      <w:b/>
      <w:bCs/>
    </w:rPr>
  </w:style>
  <w:style w:type="table" w:styleId="TableGrid">
    <w:name w:val="Table Grid"/>
    <w:basedOn w:val="TableNormal"/>
    <w:rsid w:val="006777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834A7"/>
    <w:rPr>
      <w:rFonts w:ascii="Calibri" w:eastAsia="Calibri" w:hAnsi="Calibri" w:cs="Calibri"/>
      <w:sz w:val="22"/>
      <w:szCs w:val="22"/>
    </w:rPr>
  </w:style>
  <w:style w:type="character" w:customStyle="1" w:styleId="title7">
    <w:name w:val="title7"/>
    <w:rsid w:val="002555B6"/>
    <w:rPr>
      <w:b w:val="0"/>
      <w:bCs w:val="0"/>
      <w:i w:val="0"/>
      <w:iCs w:val="0"/>
      <w:strike w:val="0"/>
      <w:dstrike w:val="0"/>
      <w:color w:val="D92E10"/>
      <w:sz w:val="26"/>
      <w:szCs w:val="26"/>
      <w:u w:val="none"/>
      <w:effect w:val="none"/>
    </w:rPr>
  </w:style>
  <w:style w:type="paragraph" w:customStyle="1" w:styleId="default">
    <w:name w:val="default"/>
    <w:basedOn w:val="Normal"/>
    <w:rsid w:val="002555B6"/>
    <w:rPr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6827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caglobal.com/uk/en/employer/recruit-acca-accounting-technician-apprentices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AB7A-4CF4-494C-A889-C34EDF33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·</vt:lpstr>
    </vt:vector>
  </TitlesOfParts>
  <Company>ACCA</Company>
  <LinksUpToDate>false</LinksUpToDate>
  <CharactersWithSpaces>6168</CharactersWithSpaces>
  <SharedDoc>false</SharedDoc>
  <HLinks>
    <vt:vector size="6" baseType="variant"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http://accainpractice.newsweaver.co.uk/accainpractice/lnymwd3r1rl?a=6&amp;p=51483286&amp;t=28218204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Fraser</dc:creator>
  <cp:lastModifiedBy>Jonathan Pratt</cp:lastModifiedBy>
  <cp:revision>2</cp:revision>
  <cp:lastPrinted>2018-10-29T18:39:00Z</cp:lastPrinted>
  <dcterms:created xsi:type="dcterms:W3CDTF">2018-10-31T15:48:00Z</dcterms:created>
  <dcterms:modified xsi:type="dcterms:W3CDTF">2018-10-31T15:48:00Z</dcterms:modified>
</cp:coreProperties>
</file>